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E3CCD1" w14:textId="78B9477F" w:rsidR="00D876A8" w:rsidRDefault="00B6608D" w:rsidP="00D876A8">
      <w:pPr>
        <w:pStyle w:val="AttachmentHeading"/>
        <w:ind w:left="0"/>
      </w:pPr>
      <w:bookmarkStart w:id="0" w:name="_Toc493605187"/>
      <w:bookmarkStart w:id="1" w:name="_Toc497287514"/>
      <w:r w:rsidRPr="00B6608D">
        <w:t xml:space="preserve">Project </w:t>
      </w:r>
      <w:r w:rsidR="00D876A8">
        <w:t>E</w:t>
      </w:r>
      <w:bookmarkStart w:id="2" w:name="_GoBack"/>
      <w:bookmarkEnd w:id="2"/>
      <w:r w:rsidR="00D876A8">
        <w:t>stimate Classification Matrix</w:t>
      </w:r>
      <w:bookmarkEnd w:id="0"/>
      <w:bookmarkEnd w:id="1"/>
    </w:p>
    <w:p w14:paraId="123567EA" w14:textId="77777777" w:rsidR="00D876A8" w:rsidRDefault="00D876A8" w:rsidP="00D876A8">
      <w:pPr>
        <w:jc w:val="left"/>
      </w:pPr>
    </w:p>
    <w:tbl>
      <w:tblPr>
        <w:tblStyle w:val="TableGrid"/>
        <w:tblW w:w="0" w:type="auto"/>
        <w:tblLook w:val="04A0" w:firstRow="1" w:lastRow="0" w:firstColumn="1" w:lastColumn="0" w:noHBand="0" w:noVBand="1"/>
      </w:tblPr>
      <w:tblGrid>
        <w:gridCol w:w="3604"/>
        <w:gridCol w:w="3604"/>
        <w:gridCol w:w="3604"/>
        <w:gridCol w:w="3604"/>
        <w:gridCol w:w="3604"/>
        <w:gridCol w:w="3604"/>
      </w:tblGrid>
      <w:tr w:rsidR="00D876A8" w:rsidRPr="0061495A" w14:paraId="58B9547E" w14:textId="77777777" w:rsidTr="003531F3">
        <w:trPr>
          <w:trHeight w:val="300"/>
        </w:trPr>
        <w:tc>
          <w:tcPr>
            <w:tcW w:w="3604" w:type="dxa"/>
            <w:shd w:val="clear" w:color="auto" w:fill="C6D9F1" w:themeFill="text2" w:themeFillTint="33"/>
          </w:tcPr>
          <w:p w14:paraId="25E02465" w14:textId="77777777" w:rsidR="00D876A8" w:rsidRPr="004B47E8" w:rsidRDefault="00D876A8" w:rsidP="003531F3">
            <w:pPr>
              <w:pStyle w:val="TableHeading"/>
              <w:rPr>
                <w:rFonts w:cs="Arial"/>
              </w:rPr>
            </w:pPr>
            <w:r w:rsidRPr="0061495A">
              <w:rPr>
                <w:rFonts w:cs="Arial"/>
              </w:rPr>
              <w:t>Estimate Class &gt;</w:t>
            </w:r>
          </w:p>
        </w:tc>
        <w:tc>
          <w:tcPr>
            <w:tcW w:w="3604" w:type="dxa"/>
            <w:shd w:val="clear" w:color="auto" w:fill="C6D9F1" w:themeFill="text2" w:themeFillTint="33"/>
          </w:tcPr>
          <w:p w14:paraId="22E10CDC" w14:textId="77777777" w:rsidR="00D876A8" w:rsidRPr="004B47E8" w:rsidRDefault="00D876A8" w:rsidP="003531F3">
            <w:pPr>
              <w:autoSpaceDE w:val="0"/>
              <w:autoSpaceDN w:val="0"/>
              <w:adjustRightInd w:val="0"/>
              <w:snapToGrid w:val="0"/>
              <w:jc w:val="center"/>
              <w:rPr>
                <w:rFonts w:cs="Arial"/>
                <w:b/>
              </w:rPr>
            </w:pPr>
            <w:r w:rsidRPr="004B47E8">
              <w:rPr>
                <w:rFonts w:cs="Arial"/>
                <w:b/>
                <w:color w:val="000000"/>
                <w:lang w:val="x-none"/>
              </w:rPr>
              <w:t>Class 5</w:t>
            </w:r>
          </w:p>
        </w:tc>
        <w:tc>
          <w:tcPr>
            <w:tcW w:w="3604" w:type="dxa"/>
            <w:shd w:val="clear" w:color="auto" w:fill="C6D9F1" w:themeFill="text2" w:themeFillTint="33"/>
          </w:tcPr>
          <w:p w14:paraId="2EB7296B" w14:textId="77777777" w:rsidR="00D876A8" w:rsidRPr="004B47E8" w:rsidRDefault="00D876A8" w:rsidP="003531F3">
            <w:pPr>
              <w:jc w:val="center"/>
              <w:rPr>
                <w:rFonts w:cs="Arial"/>
                <w:b/>
              </w:rPr>
            </w:pPr>
            <w:r w:rsidRPr="004B47E8">
              <w:rPr>
                <w:rFonts w:cs="Arial"/>
                <w:b/>
                <w:color w:val="000000"/>
                <w:lang w:val="x-none"/>
              </w:rPr>
              <w:t>Class 4</w:t>
            </w:r>
          </w:p>
        </w:tc>
        <w:tc>
          <w:tcPr>
            <w:tcW w:w="3604" w:type="dxa"/>
            <w:shd w:val="clear" w:color="auto" w:fill="C6D9F1" w:themeFill="text2" w:themeFillTint="33"/>
          </w:tcPr>
          <w:p w14:paraId="43BCAB03" w14:textId="77777777" w:rsidR="00D876A8" w:rsidRPr="004B47E8" w:rsidRDefault="00D876A8" w:rsidP="003531F3">
            <w:pPr>
              <w:jc w:val="center"/>
              <w:rPr>
                <w:rFonts w:cs="Arial"/>
                <w:b/>
              </w:rPr>
            </w:pPr>
            <w:r w:rsidRPr="004B47E8">
              <w:rPr>
                <w:rFonts w:cs="Arial"/>
                <w:b/>
                <w:color w:val="000000"/>
                <w:lang w:val="x-none"/>
              </w:rPr>
              <w:t>Class 3</w:t>
            </w:r>
          </w:p>
        </w:tc>
        <w:tc>
          <w:tcPr>
            <w:tcW w:w="3604" w:type="dxa"/>
            <w:shd w:val="clear" w:color="auto" w:fill="C6D9F1" w:themeFill="text2" w:themeFillTint="33"/>
          </w:tcPr>
          <w:p w14:paraId="37F97452" w14:textId="77777777" w:rsidR="00D876A8" w:rsidRPr="004B47E8" w:rsidRDefault="00D876A8" w:rsidP="003531F3">
            <w:pPr>
              <w:jc w:val="center"/>
              <w:rPr>
                <w:rFonts w:cs="Arial"/>
                <w:b/>
              </w:rPr>
            </w:pPr>
            <w:r w:rsidRPr="004B47E8">
              <w:rPr>
                <w:rFonts w:cs="Arial"/>
                <w:b/>
                <w:color w:val="000000"/>
                <w:lang w:val="x-none"/>
              </w:rPr>
              <w:t>Class 2</w:t>
            </w:r>
          </w:p>
        </w:tc>
        <w:tc>
          <w:tcPr>
            <w:tcW w:w="3604" w:type="dxa"/>
            <w:shd w:val="clear" w:color="auto" w:fill="C6D9F1" w:themeFill="text2" w:themeFillTint="33"/>
          </w:tcPr>
          <w:p w14:paraId="77F04CA5" w14:textId="77777777" w:rsidR="00D876A8" w:rsidRPr="004B47E8" w:rsidRDefault="00D876A8" w:rsidP="003531F3">
            <w:pPr>
              <w:jc w:val="center"/>
              <w:rPr>
                <w:rFonts w:cs="Arial"/>
                <w:b/>
              </w:rPr>
            </w:pPr>
            <w:r w:rsidRPr="004B47E8">
              <w:rPr>
                <w:rFonts w:cs="Arial"/>
                <w:b/>
                <w:color w:val="000000"/>
                <w:lang w:val="x-none"/>
              </w:rPr>
              <w:t>Class 1</w:t>
            </w:r>
          </w:p>
        </w:tc>
      </w:tr>
      <w:tr w:rsidR="00D876A8" w:rsidRPr="0061495A" w14:paraId="1B93B015" w14:textId="77777777" w:rsidTr="003531F3">
        <w:tc>
          <w:tcPr>
            <w:tcW w:w="3604" w:type="dxa"/>
            <w:vMerge w:val="restart"/>
            <w:shd w:val="clear" w:color="auto" w:fill="C6D9F1" w:themeFill="text2" w:themeFillTint="33"/>
          </w:tcPr>
          <w:p w14:paraId="58EB5E08" w14:textId="77777777" w:rsidR="00D876A8" w:rsidRPr="004B47E8" w:rsidRDefault="00D876A8" w:rsidP="003531F3">
            <w:pPr>
              <w:rPr>
                <w:rFonts w:cs="Arial"/>
                <w:b/>
                <w:color w:val="000000"/>
                <w:lang w:val="x-none"/>
              </w:rPr>
            </w:pPr>
          </w:p>
          <w:p w14:paraId="58834733" w14:textId="77777777" w:rsidR="00D876A8" w:rsidRPr="004B47E8" w:rsidRDefault="00D876A8" w:rsidP="003531F3">
            <w:pPr>
              <w:rPr>
                <w:rFonts w:cs="Arial"/>
                <w:b/>
              </w:rPr>
            </w:pPr>
            <w:r w:rsidRPr="004B47E8">
              <w:rPr>
                <w:rFonts w:cs="Arial"/>
                <w:b/>
                <w:color w:val="000000"/>
                <w:lang w:val="x-none"/>
              </w:rPr>
              <w:t>Expected Accuracy Range</w:t>
            </w:r>
          </w:p>
        </w:tc>
        <w:tc>
          <w:tcPr>
            <w:tcW w:w="3604" w:type="dxa"/>
          </w:tcPr>
          <w:p w14:paraId="3F4F57C1" w14:textId="77777777" w:rsidR="00D876A8" w:rsidRPr="0061495A" w:rsidRDefault="00D876A8" w:rsidP="003531F3">
            <w:pPr>
              <w:jc w:val="center"/>
              <w:rPr>
                <w:rFonts w:cs="Arial"/>
              </w:rPr>
            </w:pPr>
            <w:r w:rsidRPr="0061495A">
              <w:rPr>
                <w:rFonts w:cs="Arial"/>
                <w:color w:val="000000"/>
                <w:lang w:val="x-none"/>
              </w:rPr>
              <w:t>L: -20% to -50%</w:t>
            </w:r>
          </w:p>
        </w:tc>
        <w:tc>
          <w:tcPr>
            <w:tcW w:w="3604" w:type="dxa"/>
          </w:tcPr>
          <w:p w14:paraId="61E653FD" w14:textId="77777777" w:rsidR="00D876A8" w:rsidRPr="0061495A" w:rsidRDefault="00D876A8" w:rsidP="003531F3">
            <w:pPr>
              <w:jc w:val="center"/>
              <w:rPr>
                <w:rFonts w:cs="Arial"/>
              </w:rPr>
            </w:pPr>
            <w:r w:rsidRPr="0061495A">
              <w:rPr>
                <w:rFonts w:cs="Arial"/>
                <w:color w:val="000000"/>
                <w:lang w:val="x-none"/>
              </w:rPr>
              <w:t>L: -15% to -30%</w:t>
            </w:r>
          </w:p>
        </w:tc>
        <w:tc>
          <w:tcPr>
            <w:tcW w:w="3604" w:type="dxa"/>
          </w:tcPr>
          <w:p w14:paraId="5C30F8AF" w14:textId="77777777" w:rsidR="00D876A8" w:rsidRPr="0061495A" w:rsidRDefault="00D876A8" w:rsidP="003531F3">
            <w:pPr>
              <w:jc w:val="center"/>
              <w:rPr>
                <w:rFonts w:cs="Arial"/>
              </w:rPr>
            </w:pPr>
            <w:r w:rsidRPr="0061495A">
              <w:rPr>
                <w:rFonts w:cs="Arial"/>
                <w:color w:val="000000"/>
                <w:lang w:val="x-none"/>
              </w:rPr>
              <w:t>L: -10% to -20%</w:t>
            </w:r>
          </w:p>
        </w:tc>
        <w:tc>
          <w:tcPr>
            <w:tcW w:w="3604" w:type="dxa"/>
          </w:tcPr>
          <w:p w14:paraId="5DC1415E" w14:textId="77777777" w:rsidR="00D876A8" w:rsidRPr="0061495A" w:rsidRDefault="00D876A8" w:rsidP="003531F3">
            <w:pPr>
              <w:jc w:val="center"/>
              <w:rPr>
                <w:rFonts w:cs="Arial"/>
              </w:rPr>
            </w:pPr>
            <w:r w:rsidRPr="0061495A">
              <w:rPr>
                <w:rFonts w:cs="Arial"/>
                <w:color w:val="000000"/>
                <w:lang w:val="x-none"/>
              </w:rPr>
              <w:t>L: -5% to -15%</w:t>
            </w:r>
          </w:p>
        </w:tc>
        <w:tc>
          <w:tcPr>
            <w:tcW w:w="3604" w:type="dxa"/>
          </w:tcPr>
          <w:p w14:paraId="59F58D49"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L: -3% to -10%</w:t>
            </w:r>
          </w:p>
          <w:p w14:paraId="3C3A1711" w14:textId="77777777" w:rsidR="00D876A8" w:rsidRPr="0061495A" w:rsidRDefault="00D876A8" w:rsidP="003531F3">
            <w:pPr>
              <w:jc w:val="center"/>
              <w:rPr>
                <w:rFonts w:cs="Arial"/>
              </w:rPr>
            </w:pPr>
          </w:p>
        </w:tc>
      </w:tr>
      <w:tr w:rsidR="00D876A8" w:rsidRPr="0061495A" w14:paraId="477FAE17" w14:textId="77777777" w:rsidTr="003531F3">
        <w:tc>
          <w:tcPr>
            <w:tcW w:w="3604" w:type="dxa"/>
            <w:vMerge/>
            <w:shd w:val="clear" w:color="auto" w:fill="C6D9F1" w:themeFill="text2" w:themeFillTint="33"/>
          </w:tcPr>
          <w:p w14:paraId="0BD6E55B" w14:textId="77777777" w:rsidR="00D876A8" w:rsidRPr="004B47E8" w:rsidRDefault="00D876A8" w:rsidP="003531F3">
            <w:pPr>
              <w:rPr>
                <w:rFonts w:cs="Arial"/>
                <w:b/>
              </w:rPr>
            </w:pPr>
          </w:p>
        </w:tc>
        <w:tc>
          <w:tcPr>
            <w:tcW w:w="3604" w:type="dxa"/>
          </w:tcPr>
          <w:p w14:paraId="4E2991B9"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H: +30% to +100%</w:t>
            </w:r>
          </w:p>
          <w:p w14:paraId="2BC852DB" w14:textId="77777777" w:rsidR="00D876A8" w:rsidRPr="0061495A" w:rsidRDefault="00D876A8" w:rsidP="003531F3">
            <w:pPr>
              <w:jc w:val="center"/>
              <w:rPr>
                <w:rFonts w:cs="Arial"/>
              </w:rPr>
            </w:pPr>
          </w:p>
        </w:tc>
        <w:tc>
          <w:tcPr>
            <w:tcW w:w="3604" w:type="dxa"/>
          </w:tcPr>
          <w:p w14:paraId="3F1F5D92"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H: +20% to +50%</w:t>
            </w:r>
          </w:p>
          <w:p w14:paraId="315584DA" w14:textId="77777777" w:rsidR="00D876A8" w:rsidRPr="0061495A" w:rsidRDefault="00D876A8" w:rsidP="003531F3">
            <w:pPr>
              <w:jc w:val="center"/>
              <w:rPr>
                <w:rFonts w:cs="Arial"/>
              </w:rPr>
            </w:pPr>
          </w:p>
        </w:tc>
        <w:tc>
          <w:tcPr>
            <w:tcW w:w="3604" w:type="dxa"/>
          </w:tcPr>
          <w:p w14:paraId="38D67EBB" w14:textId="77777777" w:rsidR="00D876A8" w:rsidRPr="0061495A" w:rsidRDefault="00D876A8" w:rsidP="003531F3">
            <w:pPr>
              <w:jc w:val="center"/>
              <w:rPr>
                <w:rFonts w:cs="Arial"/>
              </w:rPr>
            </w:pPr>
            <w:r w:rsidRPr="0061495A">
              <w:rPr>
                <w:rFonts w:cs="Arial"/>
                <w:color w:val="000000"/>
                <w:lang w:val="x-none"/>
              </w:rPr>
              <w:t>H: +10% to +30%</w:t>
            </w:r>
          </w:p>
        </w:tc>
        <w:tc>
          <w:tcPr>
            <w:tcW w:w="3604" w:type="dxa"/>
          </w:tcPr>
          <w:p w14:paraId="17C8961E" w14:textId="77777777" w:rsidR="00D876A8" w:rsidRPr="0061495A" w:rsidRDefault="00D876A8" w:rsidP="003531F3">
            <w:pPr>
              <w:jc w:val="center"/>
              <w:rPr>
                <w:rFonts w:cs="Arial"/>
              </w:rPr>
            </w:pPr>
            <w:r w:rsidRPr="0061495A">
              <w:rPr>
                <w:rFonts w:cs="Arial"/>
                <w:color w:val="000000"/>
                <w:lang w:val="x-none"/>
              </w:rPr>
              <w:t>H: +5% to +20%</w:t>
            </w:r>
          </w:p>
        </w:tc>
        <w:tc>
          <w:tcPr>
            <w:tcW w:w="3604" w:type="dxa"/>
          </w:tcPr>
          <w:p w14:paraId="0533A9A2"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H: +3% to +15%</w:t>
            </w:r>
          </w:p>
          <w:p w14:paraId="29FF7030" w14:textId="77777777" w:rsidR="00D876A8" w:rsidRPr="0061495A" w:rsidRDefault="00D876A8" w:rsidP="003531F3">
            <w:pPr>
              <w:jc w:val="center"/>
              <w:rPr>
                <w:rFonts w:cs="Arial"/>
              </w:rPr>
            </w:pPr>
          </w:p>
        </w:tc>
      </w:tr>
      <w:tr w:rsidR="00D876A8" w:rsidRPr="0061495A" w14:paraId="58BB51A5" w14:textId="77777777" w:rsidTr="003531F3">
        <w:tc>
          <w:tcPr>
            <w:tcW w:w="3604" w:type="dxa"/>
            <w:shd w:val="clear" w:color="auto" w:fill="C6D9F1" w:themeFill="text2" w:themeFillTint="33"/>
          </w:tcPr>
          <w:p w14:paraId="08467B3B" w14:textId="77777777" w:rsidR="00D876A8" w:rsidRPr="004B47E8" w:rsidRDefault="00D876A8" w:rsidP="003531F3">
            <w:pPr>
              <w:rPr>
                <w:rFonts w:cs="Arial"/>
                <w:b/>
                <w:color w:val="000000"/>
                <w:lang w:val="x-none"/>
              </w:rPr>
            </w:pPr>
          </w:p>
          <w:p w14:paraId="12F235DE" w14:textId="77777777" w:rsidR="00D876A8" w:rsidRPr="004B47E8" w:rsidRDefault="00D876A8" w:rsidP="003531F3">
            <w:pPr>
              <w:rPr>
                <w:rFonts w:cs="Arial"/>
                <w:b/>
                <w:color w:val="000000"/>
              </w:rPr>
            </w:pPr>
            <w:r w:rsidRPr="004B47E8">
              <w:rPr>
                <w:rFonts w:cs="Arial"/>
                <w:b/>
                <w:color w:val="000000"/>
                <w:lang w:val="x-none"/>
              </w:rPr>
              <w:t>Estimate Descriptio</w:t>
            </w:r>
            <w:r w:rsidRPr="004B47E8">
              <w:rPr>
                <w:rFonts w:cs="Arial"/>
                <w:b/>
                <w:color w:val="000000"/>
              </w:rPr>
              <w:t>n</w:t>
            </w:r>
          </w:p>
          <w:p w14:paraId="7109384C" w14:textId="77777777" w:rsidR="00D876A8" w:rsidRPr="004B47E8" w:rsidRDefault="00D876A8" w:rsidP="003531F3">
            <w:pPr>
              <w:rPr>
                <w:rFonts w:cs="Arial"/>
                <w:b/>
              </w:rPr>
            </w:pPr>
          </w:p>
        </w:tc>
        <w:tc>
          <w:tcPr>
            <w:tcW w:w="3604" w:type="dxa"/>
          </w:tcPr>
          <w:p w14:paraId="09C1B3B9" w14:textId="77777777" w:rsidR="00D876A8" w:rsidRDefault="00D876A8" w:rsidP="003531F3">
            <w:pPr>
              <w:jc w:val="center"/>
              <w:rPr>
                <w:rFonts w:cs="Arial"/>
                <w:color w:val="000000"/>
                <w:lang w:val="x-none"/>
              </w:rPr>
            </w:pPr>
          </w:p>
          <w:p w14:paraId="67187A46" w14:textId="77777777" w:rsidR="00D876A8" w:rsidRPr="0061495A" w:rsidRDefault="00D876A8" w:rsidP="003531F3">
            <w:pPr>
              <w:jc w:val="center"/>
              <w:rPr>
                <w:rFonts w:cs="Arial"/>
              </w:rPr>
            </w:pPr>
            <w:r w:rsidRPr="0061495A">
              <w:rPr>
                <w:rFonts w:cs="Arial"/>
                <w:color w:val="000000"/>
                <w:lang w:val="x-none"/>
              </w:rPr>
              <w:t>Indicative / Conceptual</w:t>
            </w:r>
          </w:p>
        </w:tc>
        <w:tc>
          <w:tcPr>
            <w:tcW w:w="3604" w:type="dxa"/>
          </w:tcPr>
          <w:p w14:paraId="3117C6DE" w14:textId="77777777" w:rsidR="00D876A8" w:rsidRDefault="00D876A8" w:rsidP="003531F3">
            <w:pPr>
              <w:autoSpaceDE w:val="0"/>
              <w:autoSpaceDN w:val="0"/>
              <w:adjustRightInd w:val="0"/>
              <w:snapToGrid w:val="0"/>
              <w:jc w:val="center"/>
              <w:rPr>
                <w:rFonts w:cs="Arial"/>
                <w:color w:val="000000"/>
                <w:lang w:val="x-none"/>
              </w:rPr>
            </w:pPr>
          </w:p>
          <w:p w14:paraId="7834FAA7"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Feasibility / Order of Magnitude</w:t>
            </w:r>
          </w:p>
          <w:p w14:paraId="2380C7DD" w14:textId="77777777" w:rsidR="00D876A8" w:rsidRPr="0061495A" w:rsidRDefault="00D876A8" w:rsidP="003531F3">
            <w:pPr>
              <w:jc w:val="center"/>
              <w:rPr>
                <w:rFonts w:cs="Arial"/>
              </w:rPr>
            </w:pPr>
          </w:p>
        </w:tc>
        <w:tc>
          <w:tcPr>
            <w:tcW w:w="3604" w:type="dxa"/>
          </w:tcPr>
          <w:p w14:paraId="1E80320B" w14:textId="77777777" w:rsidR="00D876A8" w:rsidRDefault="00D876A8" w:rsidP="003531F3">
            <w:pPr>
              <w:autoSpaceDE w:val="0"/>
              <w:autoSpaceDN w:val="0"/>
              <w:adjustRightInd w:val="0"/>
              <w:snapToGrid w:val="0"/>
              <w:jc w:val="center"/>
              <w:rPr>
                <w:rFonts w:cs="Arial"/>
                <w:color w:val="000000"/>
                <w:lang w:val="x-none"/>
              </w:rPr>
            </w:pPr>
          </w:p>
          <w:p w14:paraId="370C91C9"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Preliminary</w:t>
            </w:r>
          </w:p>
          <w:p w14:paraId="784191ED" w14:textId="77777777" w:rsidR="00D876A8" w:rsidRPr="0061495A" w:rsidRDefault="00D876A8" w:rsidP="003531F3">
            <w:pPr>
              <w:jc w:val="center"/>
              <w:rPr>
                <w:rFonts w:cs="Arial"/>
              </w:rPr>
            </w:pPr>
          </w:p>
        </w:tc>
        <w:tc>
          <w:tcPr>
            <w:tcW w:w="3604" w:type="dxa"/>
          </w:tcPr>
          <w:p w14:paraId="06881D00" w14:textId="77777777" w:rsidR="00D876A8" w:rsidRDefault="00D876A8" w:rsidP="003531F3">
            <w:pPr>
              <w:jc w:val="center"/>
              <w:rPr>
                <w:rFonts w:cs="Arial"/>
                <w:color w:val="000000"/>
                <w:lang w:val="x-none"/>
              </w:rPr>
            </w:pPr>
          </w:p>
          <w:p w14:paraId="2ECD2BB1" w14:textId="77777777" w:rsidR="00D876A8" w:rsidRPr="0061495A" w:rsidRDefault="00D876A8" w:rsidP="003531F3">
            <w:pPr>
              <w:jc w:val="center"/>
              <w:rPr>
                <w:rFonts w:cs="Arial"/>
              </w:rPr>
            </w:pPr>
            <w:r w:rsidRPr="0061495A">
              <w:rPr>
                <w:rFonts w:cs="Arial"/>
                <w:color w:val="000000"/>
                <w:lang w:val="x-none"/>
              </w:rPr>
              <w:t>Engineer's</w:t>
            </w:r>
          </w:p>
        </w:tc>
        <w:tc>
          <w:tcPr>
            <w:tcW w:w="3604" w:type="dxa"/>
          </w:tcPr>
          <w:p w14:paraId="101202F7" w14:textId="77777777" w:rsidR="00D876A8" w:rsidRDefault="00D876A8" w:rsidP="003531F3">
            <w:pPr>
              <w:autoSpaceDE w:val="0"/>
              <w:autoSpaceDN w:val="0"/>
              <w:adjustRightInd w:val="0"/>
              <w:snapToGrid w:val="0"/>
              <w:jc w:val="center"/>
              <w:rPr>
                <w:rFonts w:cs="Arial"/>
                <w:color w:val="000000"/>
                <w:lang w:val="x-none"/>
              </w:rPr>
            </w:pPr>
          </w:p>
          <w:p w14:paraId="1E087328"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Definitive</w:t>
            </w:r>
          </w:p>
          <w:p w14:paraId="45368C90" w14:textId="77777777" w:rsidR="00D876A8" w:rsidRPr="0061495A" w:rsidRDefault="00D876A8" w:rsidP="003531F3">
            <w:pPr>
              <w:jc w:val="center"/>
              <w:rPr>
                <w:rFonts w:cs="Arial"/>
              </w:rPr>
            </w:pPr>
          </w:p>
        </w:tc>
      </w:tr>
      <w:tr w:rsidR="00D876A8" w:rsidRPr="0061495A" w14:paraId="40ADBD4C" w14:textId="77777777" w:rsidTr="003531F3">
        <w:tc>
          <w:tcPr>
            <w:tcW w:w="3604" w:type="dxa"/>
            <w:shd w:val="clear" w:color="auto" w:fill="C6D9F1" w:themeFill="text2" w:themeFillTint="33"/>
          </w:tcPr>
          <w:p w14:paraId="2537FEE9" w14:textId="77777777" w:rsidR="00D876A8" w:rsidRPr="004B47E8" w:rsidRDefault="00D876A8" w:rsidP="003531F3">
            <w:pPr>
              <w:autoSpaceDE w:val="0"/>
              <w:autoSpaceDN w:val="0"/>
              <w:adjustRightInd w:val="0"/>
              <w:snapToGrid w:val="0"/>
              <w:jc w:val="left"/>
              <w:rPr>
                <w:rFonts w:cs="Arial"/>
                <w:b/>
                <w:color w:val="000000"/>
                <w:lang w:val="x-none"/>
              </w:rPr>
            </w:pPr>
          </w:p>
          <w:p w14:paraId="703AED8F" w14:textId="77777777" w:rsidR="00D876A8" w:rsidRPr="004B47E8" w:rsidRDefault="00D876A8" w:rsidP="003531F3">
            <w:pPr>
              <w:autoSpaceDE w:val="0"/>
              <w:autoSpaceDN w:val="0"/>
              <w:adjustRightInd w:val="0"/>
              <w:snapToGrid w:val="0"/>
              <w:jc w:val="left"/>
              <w:rPr>
                <w:rFonts w:cs="Arial"/>
                <w:b/>
                <w:color w:val="000000"/>
                <w:lang w:val="x-none"/>
              </w:rPr>
            </w:pPr>
            <w:r w:rsidRPr="004B47E8">
              <w:rPr>
                <w:rFonts w:cs="Arial"/>
                <w:b/>
                <w:color w:val="000000"/>
                <w:lang w:val="x-none"/>
              </w:rPr>
              <w:t>Typical Use</w:t>
            </w:r>
          </w:p>
          <w:p w14:paraId="1FB87AA4" w14:textId="77777777" w:rsidR="00D876A8" w:rsidRPr="004B47E8" w:rsidRDefault="00D876A8" w:rsidP="003531F3">
            <w:pPr>
              <w:rPr>
                <w:rFonts w:cs="Arial"/>
                <w:b/>
              </w:rPr>
            </w:pPr>
          </w:p>
        </w:tc>
        <w:tc>
          <w:tcPr>
            <w:tcW w:w="3604" w:type="dxa"/>
          </w:tcPr>
          <w:p w14:paraId="0345AA71" w14:textId="77777777" w:rsidR="00D876A8" w:rsidRDefault="00D876A8" w:rsidP="003531F3">
            <w:pPr>
              <w:jc w:val="center"/>
              <w:rPr>
                <w:rFonts w:cs="Arial"/>
                <w:color w:val="000000"/>
                <w:lang w:val="x-none"/>
              </w:rPr>
            </w:pPr>
          </w:p>
          <w:p w14:paraId="22A861C2" w14:textId="77777777" w:rsidR="00D876A8" w:rsidRDefault="00D876A8" w:rsidP="003531F3">
            <w:pPr>
              <w:jc w:val="center"/>
              <w:rPr>
                <w:rFonts w:cs="Arial"/>
                <w:color w:val="000000"/>
              </w:rPr>
            </w:pPr>
            <w:r w:rsidRPr="0061495A">
              <w:rPr>
                <w:rFonts w:cs="Arial"/>
                <w:color w:val="000000"/>
                <w:lang w:val="x-none"/>
              </w:rPr>
              <w:t>Project screening and viability, market studies, evaluation of alternate scheme</w:t>
            </w:r>
            <w:r w:rsidRPr="0061495A">
              <w:rPr>
                <w:rFonts w:cs="Arial"/>
                <w:color w:val="000000"/>
              </w:rPr>
              <w:t>s</w:t>
            </w:r>
          </w:p>
          <w:p w14:paraId="30BB0581" w14:textId="77777777" w:rsidR="00D876A8" w:rsidRPr="0061495A" w:rsidRDefault="00D876A8" w:rsidP="003531F3">
            <w:pPr>
              <w:jc w:val="center"/>
              <w:rPr>
                <w:rFonts w:cs="Arial"/>
              </w:rPr>
            </w:pPr>
          </w:p>
        </w:tc>
        <w:tc>
          <w:tcPr>
            <w:tcW w:w="3604" w:type="dxa"/>
          </w:tcPr>
          <w:p w14:paraId="11CEEEEC" w14:textId="77777777" w:rsidR="00D876A8" w:rsidRDefault="00D876A8" w:rsidP="003531F3">
            <w:pPr>
              <w:autoSpaceDE w:val="0"/>
              <w:autoSpaceDN w:val="0"/>
              <w:adjustRightInd w:val="0"/>
              <w:snapToGrid w:val="0"/>
              <w:jc w:val="center"/>
              <w:rPr>
                <w:rFonts w:cs="Arial"/>
                <w:color w:val="000000"/>
                <w:lang w:val="x-none"/>
              </w:rPr>
            </w:pPr>
          </w:p>
          <w:p w14:paraId="4AB08B08"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Conceptual and feasibility studies, order of magnitude</w:t>
            </w:r>
          </w:p>
          <w:p w14:paraId="71D28DB1" w14:textId="77777777" w:rsidR="00D876A8" w:rsidRPr="0061495A" w:rsidRDefault="00D876A8" w:rsidP="003531F3">
            <w:pPr>
              <w:jc w:val="center"/>
              <w:rPr>
                <w:rFonts w:cs="Arial"/>
              </w:rPr>
            </w:pPr>
          </w:p>
        </w:tc>
        <w:tc>
          <w:tcPr>
            <w:tcW w:w="3604" w:type="dxa"/>
          </w:tcPr>
          <w:p w14:paraId="3592ACB2" w14:textId="77777777" w:rsidR="00D876A8" w:rsidRDefault="00D876A8" w:rsidP="003531F3">
            <w:pPr>
              <w:autoSpaceDE w:val="0"/>
              <w:autoSpaceDN w:val="0"/>
              <w:adjustRightInd w:val="0"/>
              <w:snapToGrid w:val="0"/>
              <w:jc w:val="center"/>
              <w:rPr>
                <w:rFonts w:cs="Arial"/>
                <w:color w:val="000000"/>
                <w:lang w:val="x-none"/>
              </w:rPr>
            </w:pPr>
          </w:p>
          <w:p w14:paraId="56F809FF"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Preliminary budget and control, studies and funding requests</w:t>
            </w:r>
          </w:p>
          <w:p w14:paraId="04A4539B" w14:textId="77777777" w:rsidR="00D876A8" w:rsidRPr="0061495A" w:rsidRDefault="00D876A8" w:rsidP="003531F3">
            <w:pPr>
              <w:jc w:val="center"/>
              <w:rPr>
                <w:rFonts w:cs="Arial"/>
              </w:rPr>
            </w:pPr>
          </w:p>
        </w:tc>
        <w:tc>
          <w:tcPr>
            <w:tcW w:w="3604" w:type="dxa"/>
          </w:tcPr>
          <w:p w14:paraId="2F281E3A" w14:textId="77777777" w:rsidR="00D876A8" w:rsidRDefault="00D876A8" w:rsidP="003531F3">
            <w:pPr>
              <w:jc w:val="center"/>
              <w:rPr>
                <w:rFonts w:cs="Arial"/>
                <w:color w:val="000000"/>
                <w:lang w:val="x-none"/>
              </w:rPr>
            </w:pPr>
          </w:p>
          <w:p w14:paraId="311C6466" w14:textId="77777777" w:rsidR="00D876A8" w:rsidRPr="0061495A" w:rsidRDefault="00D876A8" w:rsidP="003531F3">
            <w:pPr>
              <w:jc w:val="center"/>
              <w:rPr>
                <w:rFonts w:cs="Arial"/>
              </w:rPr>
            </w:pPr>
            <w:r w:rsidRPr="0061495A">
              <w:rPr>
                <w:rFonts w:cs="Arial"/>
                <w:color w:val="000000"/>
                <w:lang w:val="x-none"/>
              </w:rPr>
              <w:t>Project execution budget and control</w:t>
            </w:r>
          </w:p>
        </w:tc>
        <w:tc>
          <w:tcPr>
            <w:tcW w:w="3604" w:type="dxa"/>
          </w:tcPr>
          <w:p w14:paraId="294461EA" w14:textId="77777777" w:rsidR="00D876A8" w:rsidRDefault="00D876A8" w:rsidP="003531F3">
            <w:pPr>
              <w:autoSpaceDE w:val="0"/>
              <w:autoSpaceDN w:val="0"/>
              <w:adjustRightInd w:val="0"/>
              <w:snapToGrid w:val="0"/>
              <w:jc w:val="center"/>
              <w:rPr>
                <w:rFonts w:cs="Arial"/>
                <w:color w:val="000000"/>
                <w:lang w:val="x-none"/>
              </w:rPr>
            </w:pPr>
          </w:p>
          <w:p w14:paraId="3F6D2513"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Check estimate</w:t>
            </w:r>
          </w:p>
          <w:p w14:paraId="5934264A" w14:textId="77777777" w:rsidR="00D876A8" w:rsidRPr="0061495A" w:rsidRDefault="00D876A8" w:rsidP="003531F3">
            <w:pPr>
              <w:jc w:val="center"/>
              <w:rPr>
                <w:rFonts w:cs="Arial"/>
              </w:rPr>
            </w:pPr>
          </w:p>
        </w:tc>
      </w:tr>
      <w:tr w:rsidR="00D876A8" w:rsidRPr="0061495A" w14:paraId="64803C44" w14:textId="77777777" w:rsidTr="003531F3">
        <w:tc>
          <w:tcPr>
            <w:tcW w:w="3604" w:type="dxa"/>
            <w:shd w:val="clear" w:color="auto" w:fill="C6D9F1" w:themeFill="text2" w:themeFillTint="33"/>
          </w:tcPr>
          <w:p w14:paraId="6443F356" w14:textId="77777777" w:rsidR="00D876A8" w:rsidRPr="004B47E8" w:rsidRDefault="00D876A8" w:rsidP="003531F3">
            <w:pPr>
              <w:rPr>
                <w:rFonts w:cs="Arial"/>
                <w:b/>
                <w:color w:val="000000"/>
                <w:lang w:val="x-none"/>
              </w:rPr>
            </w:pPr>
          </w:p>
          <w:p w14:paraId="1DDB0535" w14:textId="77777777" w:rsidR="00D876A8" w:rsidRPr="004B47E8" w:rsidRDefault="00D876A8" w:rsidP="003531F3">
            <w:pPr>
              <w:rPr>
                <w:rFonts w:cs="Arial"/>
                <w:b/>
                <w:color w:val="000000"/>
                <w:lang w:val="x-none"/>
              </w:rPr>
            </w:pPr>
            <w:r w:rsidRPr="004B47E8">
              <w:rPr>
                <w:rFonts w:cs="Arial"/>
                <w:b/>
                <w:color w:val="000000"/>
                <w:lang w:val="x-none"/>
              </w:rPr>
              <w:t>Typical Engineering % Complete</w:t>
            </w:r>
          </w:p>
          <w:p w14:paraId="7663895C" w14:textId="77777777" w:rsidR="00D876A8" w:rsidRPr="004B47E8" w:rsidRDefault="00D876A8" w:rsidP="003531F3">
            <w:pPr>
              <w:rPr>
                <w:rFonts w:cs="Arial"/>
                <w:b/>
              </w:rPr>
            </w:pPr>
          </w:p>
        </w:tc>
        <w:tc>
          <w:tcPr>
            <w:tcW w:w="3604" w:type="dxa"/>
          </w:tcPr>
          <w:p w14:paraId="639976B8" w14:textId="77777777" w:rsidR="00D876A8" w:rsidRDefault="00D876A8" w:rsidP="003531F3">
            <w:pPr>
              <w:jc w:val="center"/>
              <w:rPr>
                <w:rFonts w:cs="Arial"/>
                <w:color w:val="000000"/>
                <w:lang w:val="x-none"/>
              </w:rPr>
            </w:pPr>
          </w:p>
          <w:p w14:paraId="116C6B0E" w14:textId="77777777" w:rsidR="00D876A8" w:rsidRPr="0061495A" w:rsidRDefault="00D876A8" w:rsidP="003531F3">
            <w:pPr>
              <w:jc w:val="center"/>
              <w:rPr>
                <w:rFonts w:cs="Arial"/>
              </w:rPr>
            </w:pPr>
            <w:r w:rsidRPr="0061495A">
              <w:rPr>
                <w:rFonts w:cs="Arial"/>
                <w:color w:val="000000"/>
                <w:lang w:val="x-none"/>
              </w:rPr>
              <w:t>0% to 2%</w:t>
            </w:r>
          </w:p>
        </w:tc>
        <w:tc>
          <w:tcPr>
            <w:tcW w:w="3604" w:type="dxa"/>
          </w:tcPr>
          <w:p w14:paraId="0753B562" w14:textId="77777777" w:rsidR="00D876A8" w:rsidRDefault="00D876A8" w:rsidP="003531F3">
            <w:pPr>
              <w:jc w:val="center"/>
              <w:rPr>
                <w:rFonts w:cs="Arial"/>
                <w:color w:val="000000"/>
                <w:lang w:val="x-none"/>
              </w:rPr>
            </w:pPr>
          </w:p>
          <w:p w14:paraId="3162140B" w14:textId="77777777" w:rsidR="00D876A8" w:rsidRPr="0061495A" w:rsidRDefault="00D876A8" w:rsidP="003531F3">
            <w:pPr>
              <w:jc w:val="center"/>
              <w:rPr>
                <w:rFonts w:cs="Arial"/>
              </w:rPr>
            </w:pPr>
            <w:r w:rsidRPr="0061495A">
              <w:rPr>
                <w:rFonts w:cs="Arial"/>
                <w:color w:val="000000"/>
                <w:lang w:val="x-none"/>
              </w:rPr>
              <w:t>1% to 15%</w:t>
            </w:r>
          </w:p>
        </w:tc>
        <w:tc>
          <w:tcPr>
            <w:tcW w:w="3604" w:type="dxa"/>
          </w:tcPr>
          <w:p w14:paraId="1AA7C09E" w14:textId="77777777" w:rsidR="00D876A8" w:rsidRDefault="00D876A8" w:rsidP="003531F3">
            <w:pPr>
              <w:jc w:val="center"/>
              <w:rPr>
                <w:rFonts w:cs="Arial"/>
                <w:color w:val="000000"/>
                <w:lang w:val="x-none"/>
              </w:rPr>
            </w:pPr>
          </w:p>
          <w:p w14:paraId="30951FFA" w14:textId="77777777" w:rsidR="00D876A8" w:rsidRPr="0061495A" w:rsidRDefault="00D876A8" w:rsidP="003531F3">
            <w:pPr>
              <w:jc w:val="center"/>
              <w:rPr>
                <w:rFonts w:cs="Arial"/>
              </w:rPr>
            </w:pPr>
            <w:r w:rsidRPr="0061495A">
              <w:rPr>
                <w:rFonts w:cs="Arial"/>
                <w:color w:val="000000"/>
                <w:lang w:val="x-none"/>
              </w:rPr>
              <w:t>10% to 40%</w:t>
            </w:r>
          </w:p>
        </w:tc>
        <w:tc>
          <w:tcPr>
            <w:tcW w:w="3604" w:type="dxa"/>
          </w:tcPr>
          <w:p w14:paraId="63F88499" w14:textId="77777777" w:rsidR="00D876A8" w:rsidRDefault="00D876A8" w:rsidP="003531F3">
            <w:pPr>
              <w:jc w:val="center"/>
              <w:rPr>
                <w:rFonts w:cs="Arial"/>
                <w:color w:val="000000"/>
                <w:lang w:val="x-none"/>
              </w:rPr>
            </w:pPr>
          </w:p>
          <w:p w14:paraId="5003C60F" w14:textId="77777777" w:rsidR="00D876A8" w:rsidRPr="0061495A" w:rsidRDefault="00D876A8" w:rsidP="003531F3">
            <w:pPr>
              <w:jc w:val="center"/>
              <w:rPr>
                <w:rFonts w:cs="Arial"/>
              </w:rPr>
            </w:pPr>
            <w:r w:rsidRPr="0061495A">
              <w:rPr>
                <w:rFonts w:cs="Arial"/>
                <w:color w:val="000000"/>
                <w:lang w:val="x-none"/>
              </w:rPr>
              <w:t>30% to 70%</w:t>
            </w:r>
          </w:p>
        </w:tc>
        <w:tc>
          <w:tcPr>
            <w:tcW w:w="3604" w:type="dxa"/>
          </w:tcPr>
          <w:p w14:paraId="3BD21D8B" w14:textId="77777777" w:rsidR="00D876A8" w:rsidRDefault="00D876A8" w:rsidP="003531F3">
            <w:pPr>
              <w:autoSpaceDE w:val="0"/>
              <w:autoSpaceDN w:val="0"/>
              <w:adjustRightInd w:val="0"/>
              <w:snapToGrid w:val="0"/>
              <w:jc w:val="center"/>
              <w:rPr>
                <w:rFonts w:cs="Arial"/>
                <w:color w:val="000000"/>
                <w:lang w:val="x-none"/>
              </w:rPr>
            </w:pPr>
          </w:p>
          <w:p w14:paraId="06C42D26"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50% to 100%</w:t>
            </w:r>
          </w:p>
          <w:p w14:paraId="2F04C181" w14:textId="77777777" w:rsidR="00D876A8" w:rsidRPr="0061495A" w:rsidRDefault="00D876A8" w:rsidP="003531F3">
            <w:pPr>
              <w:jc w:val="center"/>
              <w:rPr>
                <w:rFonts w:cs="Arial"/>
              </w:rPr>
            </w:pPr>
          </w:p>
        </w:tc>
      </w:tr>
      <w:tr w:rsidR="00D876A8" w:rsidRPr="0061495A" w14:paraId="73AE0D01" w14:textId="77777777" w:rsidTr="003531F3">
        <w:tc>
          <w:tcPr>
            <w:tcW w:w="3604" w:type="dxa"/>
            <w:shd w:val="clear" w:color="auto" w:fill="C6D9F1" w:themeFill="text2" w:themeFillTint="33"/>
          </w:tcPr>
          <w:p w14:paraId="2694E4B5" w14:textId="77777777" w:rsidR="00D876A8" w:rsidRPr="004B47E8" w:rsidRDefault="00D876A8" w:rsidP="003531F3">
            <w:pPr>
              <w:rPr>
                <w:rFonts w:cs="Arial"/>
                <w:b/>
                <w:color w:val="000000"/>
                <w:lang w:val="x-none"/>
              </w:rPr>
            </w:pPr>
          </w:p>
          <w:p w14:paraId="3916ABBA" w14:textId="77777777" w:rsidR="00D876A8" w:rsidRPr="004B47E8" w:rsidRDefault="00D876A8" w:rsidP="003531F3">
            <w:pPr>
              <w:rPr>
                <w:rFonts w:cs="Arial"/>
                <w:b/>
                <w:color w:val="000000"/>
                <w:lang w:val="x-none"/>
              </w:rPr>
            </w:pPr>
            <w:r w:rsidRPr="004B47E8">
              <w:rPr>
                <w:rFonts w:cs="Arial"/>
                <w:b/>
                <w:color w:val="000000"/>
                <w:lang w:val="x-none"/>
              </w:rPr>
              <w:t>Level of Project Definition</w:t>
            </w:r>
          </w:p>
          <w:p w14:paraId="35C6CC59" w14:textId="77777777" w:rsidR="00D876A8" w:rsidRPr="004B47E8" w:rsidRDefault="00D876A8" w:rsidP="003531F3">
            <w:pPr>
              <w:rPr>
                <w:rFonts w:cs="Arial"/>
                <w:b/>
              </w:rPr>
            </w:pPr>
          </w:p>
        </w:tc>
        <w:tc>
          <w:tcPr>
            <w:tcW w:w="18020" w:type="dxa"/>
            <w:gridSpan w:val="5"/>
          </w:tcPr>
          <w:p w14:paraId="269A3AA4" w14:textId="77777777" w:rsidR="00D876A8" w:rsidRPr="004B47E8" w:rsidRDefault="00D876A8" w:rsidP="003531F3">
            <w:pPr>
              <w:jc w:val="center"/>
              <w:rPr>
                <w:rFonts w:cs="Arial"/>
              </w:rPr>
            </w:pPr>
          </w:p>
          <w:p w14:paraId="05C863EC" w14:textId="3B4CD109" w:rsidR="00D876A8" w:rsidRPr="004B47E8" w:rsidRDefault="00D876A8" w:rsidP="003531F3">
            <w:pPr>
              <w:jc w:val="center"/>
              <w:rPr>
                <w:rFonts w:cs="Arial"/>
              </w:rPr>
            </w:pPr>
            <w:r w:rsidRPr="004B47E8">
              <w:rPr>
                <w:rFonts w:cs="Arial"/>
                <w:color w:val="000000"/>
                <w:lang w:val="x-none"/>
              </w:rPr>
              <w:t xml:space="preserve">(Refer to </w:t>
            </w:r>
            <w:r w:rsidRPr="004B47E8">
              <w:rPr>
                <w:rFonts w:cs="Arial"/>
                <w:color w:val="000000"/>
              </w:rPr>
              <w:t xml:space="preserve">Document No. </w:t>
            </w:r>
            <w:r w:rsidRPr="00C70954">
              <w:rPr>
                <w:rFonts w:cs="Arial"/>
                <w:color w:val="000000"/>
                <w:lang w:val="x-none"/>
              </w:rPr>
              <w:t>EPM-S00-</w:t>
            </w:r>
            <w:r w:rsidR="003C244B">
              <w:rPr>
                <w:rFonts w:cs="Arial"/>
                <w:color w:val="000000"/>
              </w:rPr>
              <w:t>RG</w:t>
            </w:r>
            <w:r w:rsidRPr="00C70954">
              <w:rPr>
                <w:rFonts w:cs="Arial"/>
                <w:color w:val="000000"/>
                <w:lang w:val="x-none"/>
              </w:rPr>
              <w:t>-00000</w:t>
            </w:r>
            <w:r w:rsidR="003C244B">
              <w:rPr>
                <w:rFonts w:cs="Arial"/>
                <w:color w:val="000000"/>
              </w:rPr>
              <w:t>3</w:t>
            </w:r>
            <w:r w:rsidRPr="004B47E8">
              <w:rPr>
                <w:rFonts w:cs="Arial"/>
                <w:color w:val="000000"/>
                <w:lang w:val="x-none"/>
              </w:rPr>
              <w:t xml:space="preserve"> – Representative List of Project Definition Deliverables Guideline</w:t>
            </w:r>
            <w:r>
              <w:rPr>
                <w:rFonts w:cs="Arial"/>
                <w:color w:val="000000"/>
              </w:rPr>
              <w:t>)</w:t>
            </w:r>
          </w:p>
        </w:tc>
      </w:tr>
      <w:tr w:rsidR="00D876A8" w:rsidRPr="0061495A" w14:paraId="7E8CE6FC" w14:textId="77777777" w:rsidTr="003531F3">
        <w:tc>
          <w:tcPr>
            <w:tcW w:w="3604" w:type="dxa"/>
            <w:shd w:val="clear" w:color="auto" w:fill="C6D9F1" w:themeFill="text2" w:themeFillTint="33"/>
          </w:tcPr>
          <w:p w14:paraId="7735C902" w14:textId="77777777" w:rsidR="00D876A8" w:rsidRPr="004B47E8" w:rsidRDefault="00D876A8" w:rsidP="003531F3">
            <w:pPr>
              <w:autoSpaceDE w:val="0"/>
              <w:autoSpaceDN w:val="0"/>
              <w:adjustRightInd w:val="0"/>
              <w:snapToGrid w:val="0"/>
              <w:jc w:val="left"/>
              <w:rPr>
                <w:rFonts w:cs="Arial"/>
                <w:b/>
                <w:color w:val="000000"/>
                <w:lang w:val="x-none"/>
              </w:rPr>
            </w:pPr>
          </w:p>
          <w:p w14:paraId="656D566C" w14:textId="77777777" w:rsidR="00D876A8" w:rsidRPr="004B47E8" w:rsidRDefault="00D876A8" w:rsidP="003531F3">
            <w:pPr>
              <w:autoSpaceDE w:val="0"/>
              <w:autoSpaceDN w:val="0"/>
              <w:adjustRightInd w:val="0"/>
              <w:snapToGrid w:val="0"/>
              <w:jc w:val="left"/>
              <w:rPr>
                <w:rFonts w:cs="Arial"/>
                <w:b/>
                <w:color w:val="000000"/>
                <w:lang w:val="x-none"/>
              </w:rPr>
            </w:pPr>
            <w:r w:rsidRPr="004B47E8">
              <w:rPr>
                <w:rFonts w:cs="Arial"/>
                <w:b/>
                <w:color w:val="000000"/>
                <w:lang w:val="x-none"/>
              </w:rPr>
              <w:t>Typical Estimating Methodology / Approach</w:t>
            </w:r>
          </w:p>
          <w:p w14:paraId="2E996173" w14:textId="77777777" w:rsidR="00D876A8" w:rsidRPr="004B47E8" w:rsidRDefault="00D876A8" w:rsidP="003531F3">
            <w:pPr>
              <w:rPr>
                <w:rFonts w:cs="Arial"/>
                <w:b/>
              </w:rPr>
            </w:pPr>
          </w:p>
        </w:tc>
        <w:tc>
          <w:tcPr>
            <w:tcW w:w="3604" w:type="dxa"/>
          </w:tcPr>
          <w:p w14:paraId="4D3C480D" w14:textId="77777777" w:rsidR="00D876A8" w:rsidRDefault="00D876A8" w:rsidP="003531F3">
            <w:pPr>
              <w:autoSpaceDE w:val="0"/>
              <w:autoSpaceDN w:val="0"/>
              <w:adjustRightInd w:val="0"/>
              <w:snapToGrid w:val="0"/>
              <w:jc w:val="center"/>
              <w:rPr>
                <w:rFonts w:cs="Arial"/>
                <w:color w:val="000000"/>
                <w:lang w:val="x-none"/>
              </w:rPr>
            </w:pPr>
          </w:p>
          <w:p w14:paraId="1CA4FB4F"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Using the actual cost of a previous, similar project as a basis for estimating the cost of the current project. Use of percentage factors and expert judgment.</w:t>
            </w:r>
          </w:p>
          <w:p w14:paraId="0049BE59" w14:textId="77777777" w:rsidR="00D876A8" w:rsidRPr="0061495A" w:rsidRDefault="00D876A8" w:rsidP="003531F3">
            <w:pPr>
              <w:jc w:val="center"/>
              <w:rPr>
                <w:rFonts w:cs="Arial"/>
              </w:rPr>
            </w:pPr>
          </w:p>
        </w:tc>
        <w:tc>
          <w:tcPr>
            <w:tcW w:w="3604" w:type="dxa"/>
          </w:tcPr>
          <w:p w14:paraId="28181C19" w14:textId="77777777" w:rsidR="00D876A8" w:rsidRDefault="00D876A8" w:rsidP="003531F3">
            <w:pPr>
              <w:autoSpaceDE w:val="0"/>
              <w:autoSpaceDN w:val="0"/>
              <w:adjustRightInd w:val="0"/>
              <w:snapToGrid w:val="0"/>
              <w:jc w:val="center"/>
              <w:rPr>
                <w:rFonts w:cs="Arial"/>
                <w:color w:val="000000"/>
                <w:lang w:val="x-none"/>
              </w:rPr>
            </w:pPr>
          </w:p>
          <w:p w14:paraId="3FFAB4AA"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 xml:space="preserve">Based on overall factors by plant capacity, facility size (length, area, volume), cost/capacity graphs, ratio methods, and comparison with similar work completed </w:t>
            </w:r>
            <w:r>
              <w:rPr>
                <w:rFonts w:cs="Arial"/>
                <w:color w:val="000000"/>
              </w:rPr>
              <w:t>previously</w:t>
            </w:r>
            <w:r w:rsidRPr="0061495A">
              <w:rPr>
                <w:rFonts w:cs="Arial"/>
                <w:color w:val="000000"/>
                <w:lang w:val="x-none"/>
              </w:rPr>
              <w:t>.</w:t>
            </w:r>
          </w:p>
          <w:p w14:paraId="0FF1ADDC" w14:textId="77777777" w:rsidR="00D876A8" w:rsidRPr="0061495A" w:rsidRDefault="00D876A8" w:rsidP="003531F3">
            <w:pPr>
              <w:jc w:val="center"/>
              <w:rPr>
                <w:rFonts w:cs="Arial"/>
              </w:rPr>
            </w:pPr>
          </w:p>
        </w:tc>
        <w:tc>
          <w:tcPr>
            <w:tcW w:w="3604" w:type="dxa"/>
          </w:tcPr>
          <w:p w14:paraId="45A78B11" w14:textId="77777777" w:rsidR="00D876A8" w:rsidRDefault="00D876A8" w:rsidP="003531F3">
            <w:pPr>
              <w:autoSpaceDE w:val="0"/>
              <w:autoSpaceDN w:val="0"/>
              <w:adjustRightInd w:val="0"/>
              <w:snapToGrid w:val="0"/>
              <w:jc w:val="center"/>
              <w:rPr>
                <w:rFonts w:cs="Arial"/>
                <w:color w:val="000000"/>
                <w:lang w:val="x-none"/>
              </w:rPr>
            </w:pPr>
          </w:p>
          <w:p w14:paraId="478EE337"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Estimate is categorized into major equipment/components and key quantities (some quantities may be estimated or factored). Detailed bulk material take-offs are generally limited to critical bulks based on scope definition. Preliminary project execution approach available to address self-perform versus subcontract scope. Time-related elements based on preliminary schedule.</w:t>
            </w:r>
          </w:p>
          <w:p w14:paraId="4FAF9F3A" w14:textId="77777777" w:rsidR="00D876A8" w:rsidRPr="0061495A" w:rsidRDefault="00D876A8" w:rsidP="003531F3">
            <w:pPr>
              <w:jc w:val="center"/>
              <w:rPr>
                <w:rFonts w:cs="Arial"/>
              </w:rPr>
            </w:pPr>
          </w:p>
        </w:tc>
        <w:tc>
          <w:tcPr>
            <w:tcW w:w="3604" w:type="dxa"/>
          </w:tcPr>
          <w:p w14:paraId="1F7C63A4" w14:textId="77777777" w:rsidR="00D876A8" w:rsidRDefault="00D876A8" w:rsidP="003531F3">
            <w:pPr>
              <w:autoSpaceDE w:val="0"/>
              <w:autoSpaceDN w:val="0"/>
              <w:adjustRightInd w:val="0"/>
              <w:snapToGrid w:val="0"/>
              <w:jc w:val="center"/>
              <w:rPr>
                <w:rFonts w:cs="Arial"/>
                <w:color w:val="000000"/>
                <w:lang w:val="x-none"/>
              </w:rPr>
            </w:pPr>
          </w:p>
          <w:p w14:paraId="02074FD1"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Detailed material take-offs are made for all major commodities from engineering design drawings and specifications. For those areas of the project not fully defined, an assumed level of detail takeoff (forced detail) may be developed to use as line items in the estimate instead of relying on factoring methods. Firm project execution approach available. Detailed definition of in</w:t>
            </w:r>
            <w:r>
              <w:rPr>
                <w:rFonts w:cs="Arial"/>
                <w:color w:val="000000"/>
              </w:rPr>
              <w:t>-</w:t>
            </w:r>
            <w:r w:rsidRPr="0061495A">
              <w:rPr>
                <w:rFonts w:cs="Arial"/>
                <w:color w:val="000000"/>
                <w:lang w:val="x-none"/>
              </w:rPr>
              <w:t>directs including non-manual staffing, construction equipment, freight, insurance, etc. Time-related elements based on firm schedule.</w:t>
            </w:r>
          </w:p>
          <w:p w14:paraId="6D8DB21B" w14:textId="77777777" w:rsidR="00D876A8" w:rsidRPr="0061495A" w:rsidRDefault="00D876A8" w:rsidP="003531F3">
            <w:pPr>
              <w:jc w:val="center"/>
              <w:rPr>
                <w:rFonts w:cs="Arial"/>
              </w:rPr>
            </w:pPr>
          </w:p>
        </w:tc>
        <w:tc>
          <w:tcPr>
            <w:tcW w:w="3604" w:type="dxa"/>
          </w:tcPr>
          <w:p w14:paraId="6FF6A3F4" w14:textId="77777777" w:rsidR="00D876A8" w:rsidRDefault="00D876A8" w:rsidP="003531F3">
            <w:pPr>
              <w:autoSpaceDE w:val="0"/>
              <w:autoSpaceDN w:val="0"/>
              <w:adjustRightInd w:val="0"/>
              <w:snapToGrid w:val="0"/>
              <w:jc w:val="center"/>
              <w:rPr>
                <w:rFonts w:cs="Arial"/>
                <w:color w:val="000000"/>
                <w:lang w:val="x-none"/>
              </w:rPr>
            </w:pPr>
          </w:p>
          <w:p w14:paraId="63FCB901"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Similar to Class 2 except detailed material take-offs are made for all or nearly all commodities from engineering design drawings and specifications.</w:t>
            </w:r>
          </w:p>
          <w:p w14:paraId="715254D2" w14:textId="77777777" w:rsidR="00D876A8" w:rsidRPr="0061495A" w:rsidRDefault="00D876A8" w:rsidP="003531F3">
            <w:pPr>
              <w:jc w:val="center"/>
              <w:rPr>
                <w:rFonts w:cs="Arial"/>
              </w:rPr>
            </w:pPr>
          </w:p>
        </w:tc>
      </w:tr>
      <w:tr w:rsidR="00D876A8" w:rsidRPr="0061495A" w14:paraId="37204449" w14:textId="77777777" w:rsidTr="003531F3">
        <w:tc>
          <w:tcPr>
            <w:tcW w:w="3604" w:type="dxa"/>
            <w:shd w:val="clear" w:color="auto" w:fill="C6D9F1" w:themeFill="text2" w:themeFillTint="33"/>
          </w:tcPr>
          <w:p w14:paraId="7E86448F" w14:textId="77777777" w:rsidR="00D876A8" w:rsidRPr="004B47E8" w:rsidRDefault="00D876A8" w:rsidP="003531F3">
            <w:pPr>
              <w:autoSpaceDE w:val="0"/>
              <w:autoSpaceDN w:val="0"/>
              <w:adjustRightInd w:val="0"/>
              <w:snapToGrid w:val="0"/>
              <w:jc w:val="left"/>
              <w:rPr>
                <w:rFonts w:cs="Arial"/>
                <w:b/>
                <w:color w:val="000000"/>
                <w:lang w:val="x-none"/>
              </w:rPr>
            </w:pPr>
          </w:p>
          <w:p w14:paraId="00011B43" w14:textId="77777777" w:rsidR="00D876A8" w:rsidRPr="004B47E8" w:rsidRDefault="00D876A8" w:rsidP="003531F3">
            <w:pPr>
              <w:autoSpaceDE w:val="0"/>
              <w:autoSpaceDN w:val="0"/>
              <w:adjustRightInd w:val="0"/>
              <w:snapToGrid w:val="0"/>
              <w:jc w:val="left"/>
              <w:rPr>
                <w:rFonts w:cs="Arial"/>
                <w:b/>
                <w:color w:val="000000"/>
                <w:lang w:val="x-none"/>
              </w:rPr>
            </w:pPr>
            <w:r w:rsidRPr="004B47E8">
              <w:rPr>
                <w:rFonts w:cs="Arial"/>
                <w:b/>
                <w:color w:val="000000"/>
                <w:lang w:val="x-none"/>
              </w:rPr>
              <w:t>Typical Basis of Unit Costs</w:t>
            </w:r>
          </w:p>
          <w:p w14:paraId="457F8FD0" w14:textId="77777777" w:rsidR="00D876A8" w:rsidRPr="004B47E8" w:rsidRDefault="00D876A8" w:rsidP="003531F3">
            <w:pPr>
              <w:rPr>
                <w:rFonts w:cs="Arial"/>
                <w:b/>
              </w:rPr>
            </w:pPr>
          </w:p>
        </w:tc>
        <w:tc>
          <w:tcPr>
            <w:tcW w:w="3604" w:type="dxa"/>
          </w:tcPr>
          <w:p w14:paraId="49BCFA6D" w14:textId="77777777" w:rsidR="00D876A8" w:rsidRDefault="00D876A8" w:rsidP="003531F3">
            <w:pPr>
              <w:autoSpaceDE w:val="0"/>
              <w:autoSpaceDN w:val="0"/>
              <w:adjustRightInd w:val="0"/>
              <w:snapToGrid w:val="0"/>
              <w:jc w:val="center"/>
              <w:rPr>
                <w:rFonts w:cs="Arial"/>
                <w:color w:val="000000"/>
                <w:lang w:val="x-none"/>
              </w:rPr>
            </w:pPr>
          </w:p>
          <w:p w14:paraId="71E00375"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Estimated costs typically based on historical information (that may be adjusted using indices), factored from other costs, etc.</w:t>
            </w:r>
          </w:p>
          <w:p w14:paraId="39F193DE" w14:textId="77777777" w:rsidR="00D876A8" w:rsidRPr="0061495A" w:rsidRDefault="00D876A8" w:rsidP="003531F3">
            <w:pPr>
              <w:jc w:val="center"/>
              <w:rPr>
                <w:rFonts w:cs="Arial"/>
              </w:rPr>
            </w:pPr>
          </w:p>
        </w:tc>
        <w:tc>
          <w:tcPr>
            <w:tcW w:w="3604" w:type="dxa"/>
          </w:tcPr>
          <w:p w14:paraId="03C288F0" w14:textId="77777777" w:rsidR="00D876A8" w:rsidRDefault="00D876A8" w:rsidP="003531F3">
            <w:pPr>
              <w:autoSpaceDE w:val="0"/>
              <w:autoSpaceDN w:val="0"/>
              <w:adjustRightInd w:val="0"/>
              <w:snapToGrid w:val="0"/>
              <w:jc w:val="center"/>
              <w:rPr>
                <w:rFonts w:cs="Arial"/>
                <w:color w:val="000000"/>
                <w:lang w:val="x-none"/>
              </w:rPr>
            </w:pPr>
          </w:p>
          <w:p w14:paraId="590C1822"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Estimated costs typically based on historical information (that may be adjusted using indices), factored from other costs, etc. Labor may also be adjusted to site conditions.</w:t>
            </w:r>
          </w:p>
          <w:p w14:paraId="4006ABFD" w14:textId="77777777" w:rsidR="00D876A8" w:rsidRPr="0061495A" w:rsidRDefault="00D876A8" w:rsidP="003531F3">
            <w:pPr>
              <w:jc w:val="center"/>
              <w:rPr>
                <w:rFonts w:cs="Arial"/>
              </w:rPr>
            </w:pPr>
          </w:p>
        </w:tc>
        <w:tc>
          <w:tcPr>
            <w:tcW w:w="3604" w:type="dxa"/>
          </w:tcPr>
          <w:p w14:paraId="5B00E85E" w14:textId="77777777" w:rsidR="00D876A8" w:rsidRDefault="00D876A8" w:rsidP="003531F3">
            <w:pPr>
              <w:autoSpaceDE w:val="0"/>
              <w:autoSpaceDN w:val="0"/>
              <w:adjustRightInd w:val="0"/>
              <w:snapToGrid w:val="0"/>
              <w:jc w:val="center"/>
              <w:rPr>
                <w:rFonts w:cs="Arial"/>
                <w:color w:val="000000"/>
                <w:lang w:val="x-none"/>
              </w:rPr>
            </w:pPr>
          </w:p>
          <w:p w14:paraId="4CDF47B9"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Incorporates broad assessments of engineering design, site productivity, labor wage rate, escalation, fee and other factors which influence the job costs. Majority of unit costs are based on historical (that may be adjusted using indices) but there may be areas where informal or budget quotes are available (e.g. budget quotes for package bulks such as Integrated Control System, etc.)</w:t>
            </w:r>
          </w:p>
          <w:p w14:paraId="2CCF5B6D" w14:textId="77777777" w:rsidR="00D876A8" w:rsidRPr="0061495A" w:rsidRDefault="00D876A8" w:rsidP="003531F3">
            <w:pPr>
              <w:jc w:val="center"/>
              <w:rPr>
                <w:rFonts w:cs="Arial"/>
              </w:rPr>
            </w:pPr>
          </w:p>
        </w:tc>
        <w:tc>
          <w:tcPr>
            <w:tcW w:w="3604" w:type="dxa"/>
          </w:tcPr>
          <w:p w14:paraId="29F3288F" w14:textId="77777777" w:rsidR="00D876A8" w:rsidRDefault="00D876A8" w:rsidP="003531F3">
            <w:pPr>
              <w:autoSpaceDE w:val="0"/>
              <w:autoSpaceDN w:val="0"/>
              <w:adjustRightInd w:val="0"/>
              <w:snapToGrid w:val="0"/>
              <w:jc w:val="center"/>
              <w:rPr>
                <w:rFonts w:cs="Arial"/>
                <w:color w:val="000000"/>
                <w:lang w:val="x-none"/>
              </w:rPr>
            </w:pPr>
          </w:p>
          <w:p w14:paraId="7067C61F"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Incorporates detailed assessment of engineering design, site productivity, labor wage rate, escalation, fee and other factors which influence the job costs. Installation hours based on performance assessments by trade, skill levels and estimated construction equipment usage. Majority of major components/commodity unit costs are based on informal or budget quotes (market/current pricing) but there may be areas where are formal quotes are available (typically available for major equipment and most package bulks).</w:t>
            </w:r>
          </w:p>
          <w:p w14:paraId="58287ABD" w14:textId="77777777" w:rsidR="00D876A8" w:rsidRPr="0061495A" w:rsidRDefault="00D876A8" w:rsidP="003531F3">
            <w:pPr>
              <w:jc w:val="center"/>
              <w:rPr>
                <w:rFonts w:cs="Arial"/>
              </w:rPr>
            </w:pPr>
          </w:p>
        </w:tc>
        <w:tc>
          <w:tcPr>
            <w:tcW w:w="3604" w:type="dxa"/>
          </w:tcPr>
          <w:p w14:paraId="23F978A8" w14:textId="77777777" w:rsidR="00D876A8" w:rsidRDefault="00D876A8" w:rsidP="003531F3">
            <w:pPr>
              <w:autoSpaceDE w:val="0"/>
              <w:autoSpaceDN w:val="0"/>
              <w:adjustRightInd w:val="0"/>
              <w:snapToGrid w:val="0"/>
              <w:jc w:val="center"/>
              <w:rPr>
                <w:rFonts w:cs="Arial"/>
                <w:color w:val="000000"/>
                <w:lang w:val="x-none"/>
              </w:rPr>
            </w:pPr>
          </w:p>
          <w:p w14:paraId="34969043"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Similar to Class 2 except that the majority of major equipment/components and commodities unit costs are based on formal or budget quotes. Committed or equivalent purchase orders may also be executed for equipment, bulk materials, subcontracts and specialized packages. Craft wage rates known and project assignment conditions approved.</w:t>
            </w:r>
          </w:p>
          <w:p w14:paraId="0F291BE8" w14:textId="77777777" w:rsidR="00D876A8" w:rsidRPr="0061495A" w:rsidRDefault="00D876A8" w:rsidP="003531F3">
            <w:pPr>
              <w:jc w:val="center"/>
              <w:rPr>
                <w:rFonts w:cs="Arial"/>
              </w:rPr>
            </w:pPr>
          </w:p>
        </w:tc>
      </w:tr>
      <w:tr w:rsidR="00D876A8" w:rsidRPr="0061495A" w14:paraId="73FDAB8C" w14:textId="77777777" w:rsidTr="003531F3">
        <w:tc>
          <w:tcPr>
            <w:tcW w:w="3604" w:type="dxa"/>
            <w:shd w:val="clear" w:color="auto" w:fill="C6D9F1" w:themeFill="text2" w:themeFillTint="33"/>
          </w:tcPr>
          <w:p w14:paraId="6BE8766A" w14:textId="77777777" w:rsidR="00D876A8" w:rsidRPr="004B47E8" w:rsidRDefault="00D876A8" w:rsidP="003531F3">
            <w:pPr>
              <w:rPr>
                <w:rFonts w:cs="Arial"/>
                <w:b/>
                <w:color w:val="000000"/>
                <w:lang w:val="x-none"/>
              </w:rPr>
            </w:pPr>
          </w:p>
          <w:p w14:paraId="5013AECD" w14:textId="77777777" w:rsidR="00D876A8" w:rsidRPr="004B47E8" w:rsidRDefault="00D876A8" w:rsidP="003531F3">
            <w:pPr>
              <w:rPr>
                <w:rFonts w:cs="Arial"/>
                <w:b/>
                <w:color w:val="000000"/>
                <w:lang w:val="x-none"/>
              </w:rPr>
            </w:pPr>
            <w:r w:rsidRPr="004B47E8">
              <w:rPr>
                <w:rFonts w:cs="Arial"/>
                <w:b/>
                <w:color w:val="000000"/>
                <w:lang w:val="x-none"/>
              </w:rPr>
              <w:t>Typical Contingency Level</w:t>
            </w:r>
          </w:p>
          <w:p w14:paraId="1E25D6B3" w14:textId="77777777" w:rsidR="00D876A8" w:rsidRPr="004B47E8" w:rsidRDefault="00D876A8" w:rsidP="003531F3">
            <w:pPr>
              <w:rPr>
                <w:rFonts w:cs="Arial"/>
                <w:b/>
              </w:rPr>
            </w:pPr>
          </w:p>
        </w:tc>
        <w:tc>
          <w:tcPr>
            <w:tcW w:w="3604" w:type="dxa"/>
          </w:tcPr>
          <w:p w14:paraId="2CAA5DE8" w14:textId="77777777" w:rsidR="00D876A8" w:rsidRDefault="00D876A8" w:rsidP="003531F3">
            <w:pPr>
              <w:jc w:val="center"/>
              <w:rPr>
                <w:rFonts w:cs="Arial"/>
              </w:rPr>
            </w:pPr>
          </w:p>
          <w:p w14:paraId="1EE14EB2" w14:textId="77777777" w:rsidR="00D876A8" w:rsidRPr="0061495A" w:rsidRDefault="00D876A8" w:rsidP="003531F3">
            <w:pPr>
              <w:jc w:val="center"/>
              <w:rPr>
                <w:rFonts w:cs="Arial"/>
              </w:rPr>
            </w:pPr>
            <w:r w:rsidRPr="0061495A">
              <w:rPr>
                <w:rFonts w:cs="Arial"/>
              </w:rPr>
              <w:t>&gt;30%</w:t>
            </w:r>
          </w:p>
        </w:tc>
        <w:tc>
          <w:tcPr>
            <w:tcW w:w="3604" w:type="dxa"/>
          </w:tcPr>
          <w:p w14:paraId="4494CC18" w14:textId="77777777" w:rsidR="00D876A8" w:rsidRDefault="00D876A8" w:rsidP="003531F3">
            <w:pPr>
              <w:jc w:val="center"/>
              <w:rPr>
                <w:rFonts w:cs="Arial"/>
              </w:rPr>
            </w:pPr>
          </w:p>
          <w:p w14:paraId="1B668EDC" w14:textId="77777777" w:rsidR="00D876A8" w:rsidRPr="0061495A" w:rsidRDefault="00D876A8" w:rsidP="003531F3">
            <w:pPr>
              <w:jc w:val="center"/>
              <w:rPr>
                <w:rFonts w:cs="Arial"/>
              </w:rPr>
            </w:pPr>
            <w:r w:rsidRPr="0061495A">
              <w:rPr>
                <w:rFonts w:cs="Arial"/>
              </w:rPr>
              <w:t>&gt;25%</w:t>
            </w:r>
          </w:p>
        </w:tc>
        <w:tc>
          <w:tcPr>
            <w:tcW w:w="3604" w:type="dxa"/>
          </w:tcPr>
          <w:p w14:paraId="4883551B" w14:textId="77777777" w:rsidR="00D876A8" w:rsidRDefault="00D876A8" w:rsidP="003531F3">
            <w:pPr>
              <w:jc w:val="center"/>
              <w:rPr>
                <w:rFonts w:cs="Arial"/>
                <w:color w:val="000000"/>
                <w:lang w:val="x-none"/>
              </w:rPr>
            </w:pPr>
          </w:p>
          <w:p w14:paraId="7164B5B6" w14:textId="77777777" w:rsidR="00D876A8" w:rsidRPr="0061495A" w:rsidRDefault="00D876A8" w:rsidP="003531F3">
            <w:pPr>
              <w:jc w:val="center"/>
              <w:rPr>
                <w:rFonts w:cs="Arial"/>
              </w:rPr>
            </w:pPr>
            <w:r w:rsidRPr="0061495A">
              <w:rPr>
                <w:rFonts w:cs="Arial"/>
                <w:color w:val="000000"/>
                <w:lang w:val="x-none"/>
              </w:rPr>
              <w:t>15% to 25%</w:t>
            </w:r>
          </w:p>
        </w:tc>
        <w:tc>
          <w:tcPr>
            <w:tcW w:w="3604" w:type="dxa"/>
          </w:tcPr>
          <w:p w14:paraId="3F9BFD34" w14:textId="77777777" w:rsidR="00D876A8" w:rsidRDefault="00D876A8" w:rsidP="003531F3">
            <w:pPr>
              <w:jc w:val="center"/>
              <w:rPr>
                <w:rFonts w:cs="Arial"/>
                <w:color w:val="000000"/>
                <w:lang w:val="x-none"/>
              </w:rPr>
            </w:pPr>
          </w:p>
          <w:p w14:paraId="5E4D97EB" w14:textId="77777777" w:rsidR="00D876A8" w:rsidRPr="0061495A" w:rsidRDefault="00D876A8" w:rsidP="003531F3">
            <w:pPr>
              <w:jc w:val="center"/>
              <w:rPr>
                <w:rFonts w:cs="Arial"/>
              </w:rPr>
            </w:pPr>
            <w:r w:rsidRPr="0061495A">
              <w:rPr>
                <w:rFonts w:cs="Arial"/>
                <w:color w:val="000000"/>
                <w:lang w:val="x-none"/>
              </w:rPr>
              <w:t>5% to 15%</w:t>
            </w:r>
          </w:p>
        </w:tc>
        <w:tc>
          <w:tcPr>
            <w:tcW w:w="3604" w:type="dxa"/>
          </w:tcPr>
          <w:p w14:paraId="61C9FF04" w14:textId="77777777" w:rsidR="00D876A8" w:rsidRDefault="00D876A8" w:rsidP="003531F3">
            <w:pPr>
              <w:autoSpaceDE w:val="0"/>
              <w:autoSpaceDN w:val="0"/>
              <w:adjustRightInd w:val="0"/>
              <w:snapToGrid w:val="0"/>
              <w:jc w:val="center"/>
              <w:rPr>
                <w:rFonts w:cs="Arial"/>
                <w:color w:val="000000"/>
                <w:lang w:val="x-none"/>
              </w:rPr>
            </w:pPr>
          </w:p>
          <w:p w14:paraId="1D4924D5" w14:textId="77777777" w:rsidR="00D876A8" w:rsidRPr="0061495A" w:rsidRDefault="00D876A8" w:rsidP="003531F3">
            <w:pPr>
              <w:autoSpaceDE w:val="0"/>
              <w:autoSpaceDN w:val="0"/>
              <w:adjustRightInd w:val="0"/>
              <w:snapToGrid w:val="0"/>
              <w:jc w:val="center"/>
              <w:rPr>
                <w:rFonts w:cs="Arial"/>
                <w:color w:val="000000"/>
                <w:lang w:val="x-none"/>
              </w:rPr>
            </w:pPr>
            <w:r w:rsidRPr="0061495A">
              <w:rPr>
                <w:rFonts w:cs="Arial"/>
                <w:color w:val="000000"/>
                <w:lang w:val="x-none"/>
              </w:rPr>
              <w:t>5% to 10%</w:t>
            </w:r>
          </w:p>
          <w:p w14:paraId="1A16B3D5" w14:textId="77777777" w:rsidR="00D876A8" w:rsidRPr="0061495A" w:rsidRDefault="00D876A8" w:rsidP="003531F3">
            <w:pPr>
              <w:jc w:val="center"/>
              <w:rPr>
                <w:rFonts w:cs="Arial"/>
              </w:rPr>
            </w:pPr>
          </w:p>
        </w:tc>
      </w:tr>
    </w:tbl>
    <w:p w14:paraId="7DD1402F" w14:textId="1419F990" w:rsidR="005C593D" w:rsidRDefault="005C593D" w:rsidP="00972FC8"/>
    <w:sectPr w:rsidR="005C593D" w:rsidSect="00745F41">
      <w:headerReference w:type="default" r:id="rId11"/>
      <w:footerReference w:type="default" r:id="rId12"/>
      <w:pgSz w:w="23818" w:h="16834" w:orient="landscape" w:code="8"/>
      <w:pgMar w:top="1411" w:right="1094" w:bottom="1138" w:left="108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067D9" w14:textId="77777777" w:rsidR="0052114C" w:rsidRDefault="0052114C">
      <w:r>
        <w:separator/>
      </w:r>
    </w:p>
    <w:p w14:paraId="7BFCD728" w14:textId="77777777" w:rsidR="0052114C" w:rsidRDefault="0052114C"/>
  </w:endnote>
  <w:endnote w:type="continuationSeparator" w:id="0">
    <w:p w14:paraId="2D095564" w14:textId="77777777" w:rsidR="0052114C" w:rsidRDefault="0052114C">
      <w:r>
        <w:continuationSeparator/>
      </w:r>
    </w:p>
    <w:p w14:paraId="5A1DB033" w14:textId="77777777" w:rsidR="0052114C" w:rsidRDefault="00521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F468" w14:textId="0D919EB2" w:rsidR="00811B9E" w:rsidRPr="00F92124" w:rsidRDefault="00811B9E" w:rsidP="00184275">
    <w:pPr>
      <w:tabs>
        <w:tab w:val="left" w:pos="6945"/>
      </w:tabs>
      <w:spacing w:after="160"/>
      <w:ind w:left="-426" w:right="-186" w:firstLine="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643DA025" wp14:editId="63F7D19A">
              <wp:simplePos x="0" y="0"/>
              <wp:positionH relativeFrom="margin">
                <wp:posOffset>0</wp:posOffset>
              </wp:positionH>
              <wp:positionV relativeFrom="paragraph">
                <wp:posOffset>172720</wp:posOffset>
              </wp:positionV>
              <wp:extent cx="138207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8207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EAB42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6pt" to="1088.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" strokecolor="#7a8d95">
              <v:stroke joinstyle="miter"/>
              <w10:wrap anchorx="margin"/>
            </v:line>
          </w:pict>
        </mc:Fallback>
      </mc:AlternateContent>
    </w:r>
    <w:r>
      <w:rPr>
        <w:rFonts w:cs="Arial"/>
        <w:color w:val="7A8D95"/>
        <w:sz w:val="16"/>
        <w:szCs w:val="16"/>
      </w:rPr>
      <w:t>Template</w:t>
    </w:r>
    <w:r w:rsidRPr="00F92124">
      <w:rPr>
        <w:rFonts w:cs="Arial"/>
        <w:color w:val="7A8D95"/>
        <w:sz w:val="16"/>
        <w:szCs w:val="16"/>
      </w:rPr>
      <w:t xml:space="preserve"> No.: </w:t>
    </w:r>
    <w:r>
      <w:rPr>
        <w:rFonts w:cs="Arial"/>
        <w:color w:val="7A8D95"/>
        <w:sz w:val="16"/>
        <w:szCs w:val="16"/>
      </w:rPr>
      <w:t xml:space="preserve">EPM-S00-RG-000002 </w:t>
    </w:r>
    <w:r w:rsidRPr="00F92124">
      <w:rPr>
        <w:rFonts w:cs="Arial"/>
        <w:color w:val="7A8D95"/>
        <w:sz w:val="16"/>
        <w:szCs w:val="16"/>
      </w:rPr>
      <w:t>Rev</w:t>
    </w:r>
    <w:r>
      <w:rPr>
        <w:rFonts w:cs="Arial"/>
        <w:color w:val="7A8D95"/>
        <w:sz w:val="16"/>
        <w:szCs w:val="16"/>
      </w:rPr>
      <w:t>. 00</w:t>
    </w:r>
    <w:r w:rsidR="00184275">
      <w:rPr>
        <w:rFonts w:cs="Arial"/>
        <w:color w:val="7A8D95"/>
        <w:sz w:val="16"/>
        <w:szCs w:val="16"/>
      </w:rPr>
      <w:t>1</w:t>
    </w:r>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33155855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077B6C">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077B6C">
      <w:rPr>
        <w:rFonts w:cs="Arial"/>
        <w:noProof/>
        <w:color w:val="7A8D95"/>
        <w:sz w:val="16"/>
        <w:szCs w:val="16"/>
      </w:rPr>
      <w:t>1</w:t>
    </w:r>
    <w:r w:rsidRPr="00EA7ADF">
      <w:rPr>
        <w:rFonts w:cs="Arial"/>
        <w:color w:val="7A8D95"/>
        <w:sz w:val="16"/>
        <w:szCs w:val="16"/>
      </w:rPr>
      <w:fldChar w:fldCharType="end"/>
    </w:r>
  </w:p>
  <w:p w14:paraId="60A2946B" w14:textId="77777777" w:rsidR="0088736C" w:rsidRDefault="0088736C" w:rsidP="0088736C">
    <w:pPr>
      <w:pStyle w:val="Footer"/>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2E922C9D" w14:textId="342ECB3C" w:rsidR="00726A53" w:rsidRPr="00811B9E" w:rsidRDefault="0088736C" w:rsidP="0088736C">
    <w:pPr>
      <w:pStyle w:val="Footer"/>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85260" w14:textId="77777777" w:rsidR="0052114C" w:rsidRDefault="0052114C">
      <w:r>
        <w:separator/>
      </w:r>
    </w:p>
    <w:p w14:paraId="459D025E" w14:textId="77777777" w:rsidR="0052114C" w:rsidRDefault="0052114C"/>
  </w:footnote>
  <w:footnote w:type="continuationSeparator" w:id="0">
    <w:p w14:paraId="05A8EFE7" w14:textId="77777777" w:rsidR="0052114C" w:rsidRDefault="0052114C">
      <w:r>
        <w:continuationSeparator/>
      </w:r>
    </w:p>
    <w:p w14:paraId="3D08296A" w14:textId="77777777" w:rsidR="0052114C" w:rsidRDefault="005211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8669" w14:textId="6D4875F9" w:rsidR="00A14847" w:rsidRPr="003853C9" w:rsidRDefault="000767C8" w:rsidP="00A14847">
    <w:pPr>
      <w:pStyle w:val="Header"/>
      <w:ind w:right="1435"/>
      <w:jc w:val="center"/>
      <w:rPr>
        <w:b/>
        <w:sz w:val="24"/>
        <w:szCs w:val="24"/>
      </w:rPr>
    </w:pPr>
    <w:r w:rsidRPr="009A054C">
      <w:rPr>
        <w:noProof/>
      </w:rPr>
      <w:drawing>
        <wp:anchor distT="0" distB="0" distL="114300" distR="114300" simplePos="0" relativeHeight="251663360" behindDoc="0" locked="0" layoutInCell="1" allowOverlap="1" wp14:anchorId="0FE2BAF6" wp14:editId="2DDAFADF">
          <wp:simplePos x="0" y="0"/>
          <wp:positionH relativeFrom="margin">
            <wp:align>left</wp:align>
          </wp:positionH>
          <wp:positionV relativeFrom="paragraph">
            <wp:posOffset>-209550</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p w14:paraId="1FCA4915" w14:textId="77777777" w:rsidR="00A14847" w:rsidRDefault="00A14847" w:rsidP="00A14847">
    <w:pPr>
      <w:pStyle w:val="Header"/>
    </w:pPr>
  </w:p>
  <w:p w14:paraId="2E62636D" w14:textId="77777777" w:rsidR="00A14847" w:rsidRDefault="00A14847" w:rsidP="00A14847">
    <w:pPr>
      <w:tabs>
        <w:tab w:val="left" w:pos="22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pStyle w:val="NumberBody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67D21"/>
    <w:multiLevelType w:val="hybridMultilevel"/>
    <w:tmpl w:val="D102B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38A581D"/>
    <w:multiLevelType w:val="hybridMultilevel"/>
    <w:tmpl w:val="30767E22"/>
    <w:lvl w:ilvl="0" w:tplc="6CCC53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54A0F"/>
    <w:multiLevelType w:val="hybridMultilevel"/>
    <w:tmpl w:val="CD166EF6"/>
    <w:lvl w:ilvl="0" w:tplc="5906C4A4">
      <w:start w:val="1"/>
      <w:numFmt w:val="decimal"/>
      <w:lvlText w:val="%1."/>
      <w:lvlJc w:val="left"/>
      <w:pPr>
        <w:ind w:left="720" w:hanging="360"/>
      </w:pPr>
      <w:rPr>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EA270E"/>
    <w:multiLevelType w:val="hybridMultilevel"/>
    <w:tmpl w:val="CF86E12E"/>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9"/>
  </w:num>
  <w:num w:numId="7">
    <w:abstractNumId w:val="8"/>
  </w:num>
  <w:num w:numId="8">
    <w:abstractNumId w:val="1"/>
  </w:num>
  <w:num w:numId="9">
    <w:abstractNumId w:val="7"/>
  </w:num>
  <w:num w:numId="10">
    <w:abstractNumId w:val="11"/>
  </w:num>
  <w:num w:numId="11">
    <w:abstractNumId w:val="10"/>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C"/>
    <w:rsid w:val="0000052E"/>
    <w:rsid w:val="00000DB7"/>
    <w:rsid w:val="00001369"/>
    <w:rsid w:val="00001634"/>
    <w:rsid w:val="0000286C"/>
    <w:rsid w:val="0000319C"/>
    <w:rsid w:val="00003B10"/>
    <w:rsid w:val="00006011"/>
    <w:rsid w:val="00007BAF"/>
    <w:rsid w:val="00007BF5"/>
    <w:rsid w:val="0001058E"/>
    <w:rsid w:val="00011F52"/>
    <w:rsid w:val="0001397A"/>
    <w:rsid w:val="000159FF"/>
    <w:rsid w:val="00015CC2"/>
    <w:rsid w:val="00015DF0"/>
    <w:rsid w:val="00017539"/>
    <w:rsid w:val="00017D6D"/>
    <w:rsid w:val="00020007"/>
    <w:rsid w:val="00020569"/>
    <w:rsid w:val="0002056D"/>
    <w:rsid w:val="00020AE6"/>
    <w:rsid w:val="0002198F"/>
    <w:rsid w:val="00022EF2"/>
    <w:rsid w:val="0002341A"/>
    <w:rsid w:val="00024235"/>
    <w:rsid w:val="0002499E"/>
    <w:rsid w:val="00026479"/>
    <w:rsid w:val="00026742"/>
    <w:rsid w:val="000277A5"/>
    <w:rsid w:val="0003084E"/>
    <w:rsid w:val="00030D04"/>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0BFA"/>
    <w:rsid w:val="00052750"/>
    <w:rsid w:val="000545A9"/>
    <w:rsid w:val="00054930"/>
    <w:rsid w:val="00054EB8"/>
    <w:rsid w:val="00055EB9"/>
    <w:rsid w:val="0005632D"/>
    <w:rsid w:val="000572E2"/>
    <w:rsid w:val="0005799D"/>
    <w:rsid w:val="00060CF1"/>
    <w:rsid w:val="00060F83"/>
    <w:rsid w:val="00063D8B"/>
    <w:rsid w:val="000655A3"/>
    <w:rsid w:val="00065726"/>
    <w:rsid w:val="00065FE4"/>
    <w:rsid w:val="0006697D"/>
    <w:rsid w:val="00067054"/>
    <w:rsid w:val="00070831"/>
    <w:rsid w:val="00072034"/>
    <w:rsid w:val="00072A29"/>
    <w:rsid w:val="000747EF"/>
    <w:rsid w:val="00074D40"/>
    <w:rsid w:val="00075A4B"/>
    <w:rsid w:val="00075ED5"/>
    <w:rsid w:val="000767C8"/>
    <w:rsid w:val="00076FDB"/>
    <w:rsid w:val="00077B6C"/>
    <w:rsid w:val="00081076"/>
    <w:rsid w:val="000824A1"/>
    <w:rsid w:val="000824D6"/>
    <w:rsid w:val="00082710"/>
    <w:rsid w:val="00082C1A"/>
    <w:rsid w:val="00082E05"/>
    <w:rsid w:val="00083A5A"/>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42A1"/>
    <w:rsid w:val="000D58EF"/>
    <w:rsid w:val="000D65BA"/>
    <w:rsid w:val="000D6D0A"/>
    <w:rsid w:val="000E3163"/>
    <w:rsid w:val="000E3E4E"/>
    <w:rsid w:val="000E6468"/>
    <w:rsid w:val="000E7BCD"/>
    <w:rsid w:val="000F0A74"/>
    <w:rsid w:val="000F1028"/>
    <w:rsid w:val="000F2C8C"/>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531"/>
    <w:rsid w:val="00112F25"/>
    <w:rsid w:val="00113020"/>
    <w:rsid w:val="00114874"/>
    <w:rsid w:val="00115DDA"/>
    <w:rsid w:val="0011743F"/>
    <w:rsid w:val="00121FFB"/>
    <w:rsid w:val="001240BE"/>
    <w:rsid w:val="001269A0"/>
    <w:rsid w:val="0013027D"/>
    <w:rsid w:val="00131B29"/>
    <w:rsid w:val="00131BAA"/>
    <w:rsid w:val="00131D8A"/>
    <w:rsid w:val="00132F66"/>
    <w:rsid w:val="00133DA4"/>
    <w:rsid w:val="00137ABE"/>
    <w:rsid w:val="00142314"/>
    <w:rsid w:val="001428BA"/>
    <w:rsid w:val="00142AE7"/>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3A02"/>
    <w:rsid w:val="00184275"/>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2EF"/>
    <w:rsid w:val="001B3F14"/>
    <w:rsid w:val="001B5A44"/>
    <w:rsid w:val="001B62F5"/>
    <w:rsid w:val="001B6493"/>
    <w:rsid w:val="001B6927"/>
    <w:rsid w:val="001B78AE"/>
    <w:rsid w:val="001C0267"/>
    <w:rsid w:val="001C0398"/>
    <w:rsid w:val="001C07C2"/>
    <w:rsid w:val="001C1070"/>
    <w:rsid w:val="001C1DA3"/>
    <w:rsid w:val="001C1F89"/>
    <w:rsid w:val="001C3A38"/>
    <w:rsid w:val="001C3FED"/>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49C7"/>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1AEA"/>
    <w:rsid w:val="00211FEE"/>
    <w:rsid w:val="002129D5"/>
    <w:rsid w:val="00212A87"/>
    <w:rsid w:val="0021314D"/>
    <w:rsid w:val="00213678"/>
    <w:rsid w:val="00216084"/>
    <w:rsid w:val="0021775F"/>
    <w:rsid w:val="00220848"/>
    <w:rsid w:val="002235C2"/>
    <w:rsid w:val="00223BDE"/>
    <w:rsid w:val="00225124"/>
    <w:rsid w:val="00226FC5"/>
    <w:rsid w:val="00231728"/>
    <w:rsid w:val="00231F56"/>
    <w:rsid w:val="00234AD1"/>
    <w:rsid w:val="00234BE1"/>
    <w:rsid w:val="00234CA8"/>
    <w:rsid w:val="00235016"/>
    <w:rsid w:val="00237337"/>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67598"/>
    <w:rsid w:val="00272789"/>
    <w:rsid w:val="002732AA"/>
    <w:rsid w:val="002749D3"/>
    <w:rsid w:val="00275C13"/>
    <w:rsid w:val="00280BA9"/>
    <w:rsid w:val="002813FD"/>
    <w:rsid w:val="00281EE3"/>
    <w:rsid w:val="00282949"/>
    <w:rsid w:val="00282A4B"/>
    <w:rsid w:val="002835DB"/>
    <w:rsid w:val="0028408F"/>
    <w:rsid w:val="00285F60"/>
    <w:rsid w:val="00286AA7"/>
    <w:rsid w:val="00286B82"/>
    <w:rsid w:val="002870E3"/>
    <w:rsid w:val="00290190"/>
    <w:rsid w:val="00290329"/>
    <w:rsid w:val="002906AC"/>
    <w:rsid w:val="002906C7"/>
    <w:rsid w:val="00290F50"/>
    <w:rsid w:val="00291527"/>
    <w:rsid w:val="00291FFD"/>
    <w:rsid w:val="00292F90"/>
    <w:rsid w:val="00293FAC"/>
    <w:rsid w:val="0029427B"/>
    <w:rsid w:val="002948F5"/>
    <w:rsid w:val="002A0197"/>
    <w:rsid w:val="002A1CBF"/>
    <w:rsid w:val="002A28F3"/>
    <w:rsid w:val="002A295F"/>
    <w:rsid w:val="002A5C92"/>
    <w:rsid w:val="002A76FE"/>
    <w:rsid w:val="002B224C"/>
    <w:rsid w:val="002B2BF4"/>
    <w:rsid w:val="002B36FA"/>
    <w:rsid w:val="002B3DB8"/>
    <w:rsid w:val="002B507C"/>
    <w:rsid w:val="002B61CE"/>
    <w:rsid w:val="002B6649"/>
    <w:rsid w:val="002C0246"/>
    <w:rsid w:val="002C1270"/>
    <w:rsid w:val="002C145E"/>
    <w:rsid w:val="002C1E1D"/>
    <w:rsid w:val="002C2D93"/>
    <w:rsid w:val="002C31FA"/>
    <w:rsid w:val="002C5E13"/>
    <w:rsid w:val="002C6EBA"/>
    <w:rsid w:val="002C71B6"/>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490F"/>
    <w:rsid w:val="002E6175"/>
    <w:rsid w:val="002E7AC0"/>
    <w:rsid w:val="002F0F91"/>
    <w:rsid w:val="002F1340"/>
    <w:rsid w:val="002F19E2"/>
    <w:rsid w:val="002F251A"/>
    <w:rsid w:val="002F3D92"/>
    <w:rsid w:val="002F4D4E"/>
    <w:rsid w:val="002F5108"/>
    <w:rsid w:val="002F586F"/>
    <w:rsid w:val="002F5E71"/>
    <w:rsid w:val="002F6CC7"/>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1509"/>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799F"/>
    <w:rsid w:val="003614F1"/>
    <w:rsid w:val="003633B5"/>
    <w:rsid w:val="003637B4"/>
    <w:rsid w:val="0036385B"/>
    <w:rsid w:val="00363D7F"/>
    <w:rsid w:val="003654A4"/>
    <w:rsid w:val="00370AA5"/>
    <w:rsid w:val="00371BBD"/>
    <w:rsid w:val="00371BDC"/>
    <w:rsid w:val="00372FBA"/>
    <w:rsid w:val="003755DF"/>
    <w:rsid w:val="00375B6F"/>
    <w:rsid w:val="00376614"/>
    <w:rsid w:val="003809A8"/>
    <w:rsid w:val="003811DE"/>
    <w:rsid w:val="003815F5"/>
    <w:rsid w:val="003822A9"/>
    <w:rsid w:val="003822E8"/>
    <w:rsid w:val="00383AFF"/>
    <w:rsid w:val="00384D0C"/>
    <w:rsid w:val="0038536F"/>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44B"/>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E72DE"/>
    <w:rsid w:val="003F02E7"/>
    <w:rsid w:val="003F0A2C"/>
    <w:rsid w:val="003F1344"/>
    <w:rsid w:val="003F1D76"/>
    <w:rsid w:val="003F1F64"/>
    <w:rsid w:val="003F4519"/>
    <w:rsid w:val="003F493F"/>
    <w:rsid w:val="003F4F37"/>
    <w:rsid w:val="003F635A"/>
    <w:rsid w:val="003F6834"/>
    <w:rsid w:val="003F6D85"/>
    <w:rsid w:val="003F7C1A"/>
    <w:rsid w:val="003F7C5C"/>
    <w:rsid w:val="00400A5F"/>
    <w:rsid w:val="004029DD"/>
    <w:rsid w:val="00403102"/>
    <w:rsid w:val="00404B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0D4"/>
    <w:rsid w:val="004241D5"/>
    <w:rsid w:val="00424A07"/>
    <w:rsid w:val="004254AB"/>
    <w:rsid w:val="004256DE"/>
    <w:rsid w:val="0042600C"/>
    <w:rsid w:val="00426722"/>
    <w:rsid w:val="004275AF"/>
    <w:rsid w:val="004303B7"/>
    <w:rsid w:val="004306AD"/>
    <w:rsid w:val="0043078B"/>
    <w:rsid w:val="00430C67"/>
    <w:rsid w:val="00430FB9"/>
    <w:rsid w:val="0043147D"/>
    <w:rsid w:val="0043417C"/>
    <w:rsid w:val="00436042"/>
    <w:rsid w:val="00436904"/>
    <w:rsid w:val="0043756A"/>
    <w:rsid w:val="00437A59"/>
    <w:rsid w:val="00440563"/>
    <w:rsid w:val="004414BB"/>
    <w:rsid w:val="00441AF1"/>
    <w:rsid w:val="004420E1"/>
    <w:rsid w:val="00442DDD"/>
    <w:rsid w:val="004443A0"/>
    <w:rsid w:val="00444C75"/>
    <w:rsid w:val="004450A4"/>
    <w:rsid w:val="00445E98"/>
    <w:rsid w:val="0044687A"/>
    <w:rsid w:val="00446AD7"/>
    <w:rsid w:val="004471AB"/>
    <w:rsid w:val="00451BAB"/>
    <w:rsid w:val="00452D05"/>
    <w:rsid w:val="0045346F"/>
    <w:rsid w:val="00457797"/>
    <w:rsid w:val="00457ADD"/>
    <w:rsid w:val="004606BC"/>
    <w:rsid w:val="00460E68"/>
    <w:rsid w:val="004621E7"/>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2CA4"/>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6F1"/>
    <w:rsid w:val="004B1905"/>
    <w:rsid w:val="004B2097"/>
    <w:rsid w:val="004B2BAE"/>
    <w:rsid w:val="004B2CA4"/>
    <w:rsid w:val="004B3128"/>
    <w:rsid w:val="004B34F6"/>
    <w:rsid w:val="004B361B"/>
    <w:rsid w:val="004B3D5B"/>
    <w:rsid w:val="004B7009"/>
    <w:rsid w:val="004B7F6F"/>
    <w:rsid w:val="004C007D"/>
    <w:rsid w:val="004C013A"/>
    <w:rsid w:val="004C401F"/>
    <w:rsid w:val="004C4D38"/>
    <w:rsid w:val="004C59F2"/>
    <w:rsid w:val="004C70AB"/>
    <w:rsid w:val="004D03AA"/>
    <w:rsid w:val="004D08A7"/>
    <w:rsid w:val="004D0EB5"/>
    <w:rsid w:val="004D1989"/>
    <w:rsid w:val="004D1D60"/>
    <w:rsid w:val="004D1F9A"/>
    <w:rsid w:val="004D28B8"/>
    <w:rsid w:val="004D3919"/>
    <w:rsid w:val="004D3929"/>
    <w:rsid w:val="004D392A"/>
    <w:rsid w:val="004D411F"/>
    <w:rsid w:val="004D5090"/>
    <w:rsid w:val="004D5828"/>
    <w:rsid w:val="004D5BC6"/>
    <w:rsid w:val="004D6BED"/>
    <w:rsid w:val="004E2148"/>
    <w:rsid w:val="004E2E95"/>
    <w:rsid w:val="004E31AB"/>
    <w:rsid w:val="004E4378"/>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4177"/>
    <w:rsid w:val="00516E59"/>
    <w:rsid w:val="00517166"/>
    <w:rsid w:val="0052114C"/>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29EA"/>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6D03"/>
    <w:rsid w:val="0059027C"/>
    <w:rsid w:val="00594107"/>
    <w:rsid w:val="005942DD"/>
    <w:rsid w:val="00594397"/>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0228"/>
    <w:rsid w:val="005C2D76"/>
    <w:rsid w:val="005C37F5"/>
    <w:rsid w:val="005C4077"/>
    <w:rsid w:val="005C4C1C"/>
    <w:rsid w:val="005C4F86"/>
    <w:rsid w:val="005C5022"/>
    <w:rsid w:val="005C593D"/>
    <w:rsid w:val="005C6452"/>
    <w:rsid w:val="005C6534"/>
    <w:rsid w:val="005C67CE"/>
    <w:rsid w:val="005C69A2"/>
    <w:rsid w:val="005C6CAC"/>
    <w:rsid w:val="005C700F"/>
    <w:rsid w:val="005D5008"/>
    <w:rsid w:val="005D53F9"/>
    <w:rsid w:val="005D68DD"/>
    <w:rsid w:val="005D72AB"/>
    <w:rsid w:val="005E018E"/>
    <w:rsid w:val="005E2257"/>
    <w:rsid w:val="005E268C"/>
    <w:rsid w:val="005E3ECE"/>
    <w:rsid w:val="005E41E4"/>
    <w:rsid w:val="005E5661"/>
    <w:rsid w:val="005E5AEB"/>
    <w:rsid w:val="005E5D65"/>
    <w:rsid w:val="005E612E"/>
    <w:rsid w:val="005E62F9"/>
    <w:rsid w:val="005E67F5"/>
    <w:rsid w:val="005E694B"/>
    <w:rsid w:val="005E7531"/>
    <w:rsid w:val="005E795A"/>
    <w:rsid w:val="005E7B35"/>
    <w:rsid w:val="005F147F"/>
    <w:rsid w:val="005F3743"/>
    <w:rsid w:val="005F3D03"/>
    <w:rsid w:val="005F5C08"/>
    <w:rsid w:val="005F6A91"/>
    <w:rsid w:val="006003A3"/>
    <w:rsid w:val="0060352F"/>
    <w:rsid w:val="00603B56"/>
    <w:rsid w:val="00603D41"/>
    <w:rsid w:val="006044A2"/>
    <w:rsid w:val="00604E51"/>
    <w:rsid w:val="00604EAB"/>
    <w:rsid w:val="00605710"/>
    <w:rsid w:val="00605720"/>
    <w:rsid w:val="0060623D"/>
    <w:rsid w:val="006073F1"/>
    <w:rsid w:val="00610A20"/>
    <w:rsid w:val="00610B58"/>
    <w:rsid w:val="00611DCA"/>
    <w:rsid w:val="00611E34"/>
    <w:rsid w:val="00615725"/>
    <w:rsid w:val="006217D9"/>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1422"/>
    <w:rsid w:val="00651687"/>
    <w:rsid w:val="00651C18"/>
    <w:rsid w:val="0065243B"/>
    <w:rsid w:val="0065277E"/>
    <w:rsid w:val="00652C69"/>
    <w:rsid w:val="0065356D"/>
    <w:rsid w:val="0065389A"/>
    <w:rsid w:val="00654364"/>
    <w:rsid w:val="00654495"/>
    <w:rsid w:val="00656532"/>
    <w:rsid w:val="0066031F"/>
    <w:rsid w:val="0066114C"/>
    <w:rsid w:val="00661A1D"/>
    <w:rsid w:val="006643B8"/>
    <w:rsid w:val="00664B46"/>
    <w:rsid w:val="00664DBF"/>
    <w:rsid w:val="00667A9F"/>
    <w:rsid w:val="00667C33"/>
    <w:rsid w:val="006714F2"/>
    <w:rsid w:val="00671F76"/>
    <w:rsid w:val="00673090"/>
    <w:rsid w:val="006738E6"/>
    <w:rsid w:val="00673ACF"/>
    <w:rsid w:val="00675A50"/>
    <w:rsid w:val="00675C48"/>
    <w:rsid w:val="006775D0"/>
    <w:rsid w:val="00680207"/>
    <w:rsid w:val="00680A97"/>
    <w:rsid w:val="00680B5F"/>
    <w:rsid w:val="00681894"/>
    <w:rsid w:val="00683DC3"/>
    <w:rsid w:val="00684601"/>
    <w:rsid w:val="00684B12"/>
    <w:rsid w:val="00690B17"/>
    <w:rsid w:val="00690B1F"/>
    <w:rsid w:val="00692DCC"/>
    <w:rsid w:val="00693C58"/>
    <w:rsid w:val="006955E1"/>
    <w:rsid w:val="006965F3"/>
    <w:rsid w:val="00697462"/>
    <w:rsid w:val="006A2B12"/>
    <w:rsid w:val="006A3406"/>
    <w:rsid w:val="006A35B4"/>
    <w:rsid w:val="006A3E4E"/>
    <w:rsid w:val="006A3E6B"/>
    <w:rsid w:val="006A442D"/>
    <w:rsid w:val="006A5172"/>
    <w:rsid w:val="006A5936"/>
    <w:rsid w:val="006A6A09"/>
    <w:rsid w:val="006B113F"/>
    <w:rsid w:val="006B70AF"/>
    <w:rsid w:val="006C06FB"/>
    <w:rsid w:val="006C1246"/>
    <w:rsid w:val="006C170C"/>
    <w:rsid w:val="006C2DC4"/>
    <w:rsid w:val="006C322C"/>
    <w:rsid w:val="006C54E9"/>
    <w:rsid w:val="006C68A8"/>
    <w:rsid w:val="006C7E9B"/>
    <w:rsid w:val="006D26FE"/>
    <w:rsid w:val="006D2AA9"/>
    <w:rsid w:val="006D2B05"/>
    <w:rsid w:val="006D4FA4"/>
    <w:rsid w:val="006D5E16"/>
    <w:rsid w:val="006D718A"/>
    <w:rsid w:val="006E0946"/>
    <w:rsid w:val="006E2C79"/>
    <w:rsid w:val="006E3698"/>
    <w:rsid w:val="006E5321"/>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CE0"/>
    <w:rsid w:val="00725FDB"/>
    <w:rsid w:val="00726045"/>
    <w:rsid w:val="00726A53"/>
    <w:rsid w:val="007329D7"/>
    <w:rsid w:val="0073303D"/>
    <w:rsid w:val="007348CC"/>
    <w:rsid w:val="00735F70"/>
    <w:rsid w:val="00744550"/>
    <w:rsid w:val="00744AEE"/>
    <w:rsid w:val="00745F41"/>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7B2"/>
    <w:rsid w:val="00770E11"/>
    <w:rsid w:val="00771E0C"/>
    <w:rsid w:val="00772157"/>
    <w:rsid w:val="00772933"/>
    <w:rsid w:val="007741CA"/>
    <w:rsid w:val="007744D1"/>
    <w:rsid w:val="007772F3"/>
    <w:rsid w:val="00780258"/>
    <w:rsid w:val="00780A2B"/>
    <w:rsid w:val="00781ADC"/>
    <w:rsid w:val="00782509"/>
    <w:rsid w:val="00782BDC"/>
    <w:rsid w:val="00782BF8"/>
    <w:rsid w:val="00782D18"/>
    <w:rsid w:val="00782F3A"/>
    <w:rsid w:val="0078375E"/>
    <w:rsid w:val="00783D41"/>
    <w:rsid w:val="0078520E"/>
    <w:rsid w:val="007852E1"/>
    <w:rsid w:val="0078554F"/>
    <w:rsid w:val="00787066"/>
    <w:rsid w:val="007900CC"/>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49DF"/>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668"/>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3DC"/>
    <w:rsid w:val="007F660B"/>
    <w:rsid w:val="007F79AC"/>
    <w:rsid w:val="00801A82"/>
    <w:rsid w:val="008031DD"/>
    <w:rsid w:val="008034E8"/>
    <w:rsid w:val="00803572"/>
    <w:rsid w:val="00803C68"/>
    <w:rsid w:val="008041B3"/>
    <w:rsid w:val="008051D2"/>
    <w:rsid w:val="00805272"/>
    <w:rsid w:val="00810B38"/>
    <w:rsid w:val="0081185A"/>
    <w:rsid w:val="00811B9E"/>
    <w:rsid w:val="00811CF3"/>
    <w:rsid w:val="0081324F"/>
    <w:rsid w:val="008132F6"/>
    <w:rsid w:val="00813DD3"/>
    <w:rsid w:val="00814605"/>
    <w:rsid w:val="00814F58"/>
    <w:rsid w:val="008162CF"/>
    <w:rsid w:val="008169E7"/>
    <w:rsid w:val="00817C20"/>
    <w:rsid w:val="008208E8"/>
    <w:rsid w:val="008211E4"/>
    <w:rsid w:val="008217F7"/>
    <w:rsid w:val="00822060"/>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C0D"/>
    <w:rsid w:val="00836E72"/>
    <w:rsid w:val="008416C9"/>
    <w:rsid w:val="008416D9"/>
    <w:rsid w:val="00842438"/>
    <w:rsid w:val="008432EA"/>
    <w:rsid w:val="00843C84"/>
    <w:rsid w:val="008504CD"/>
    <w:rsid w:val="0085178D"/>
    <w:rsid w:val="0085295E"/>
    <w:rsid w:val="008544C0"/>
    <w:rsid w:val="008556C6"/>
    <w:rsid w:val="00855A1E"/>
    <w:rsid w:val="00856221"/>
    <w:rsid w:val="0085678C"/>
    <w:rsid w:val="0085681A"/>
    <w:rsid w:val="00861DFE"/>
    <w:rsid w:val="008622BF"/>
    <w:rsid w:val="00862DB4"/>
    <w:rsid w:val="0086428E"/>
    <w:rsid w:val="00864C07"/>
    <w:rsid w:val="00864D12"/>
    <w:rsid w:val="00864D1B"/>
    <w:rsid w:val="00864DE9"/>
    <w:rsid w:val="008702AD"/>
    <w:rsid w:val="008702BA"/>
    <w:rsid w:val="00870FD2"/>
    <w:rsid w:val="008712B0"/>
    <w:rsid w:val="0087138C"/>
    <w:rsid w:val="008765CB"/>
    <w:rsid w:val="0087779D"/>
    <w:rsid w:val="00883519"/>
    <w:rsid w:val="0088397F"/>
    <w:rsid w:val="0088736C"/>
    <w:rsid w:val="008878EB"/>
    <w:rsid w:val="00887EA0"/>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5C0D"/>
    <w:rsid w:val="008B5E4E"/>
    <w:rsid w:val="008B61BE"/>
    <w:rsid w:val="008B64E3"/>
    <w:rsid w:val="008B6909"/>
    <w:rsid w:val="008C0AEC"/>
    <w:rsid w:val="008C1220"/>
    <w:rsid w:val="008C2D42"/>
    <w:rsid w:val="008C479A"/>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1B41"/>
    <w:rsid w:val="00904903"/>
    <w:rsid w:val="009054D0"/>
    <w:rsid w:val="0090566B"/>
    <w:rsid w:val="00906666"/>
    <w:rsid w:val="009068F0"/>
    <w:rsid w:val="00907908"/>
    <w:rsid w:val="00907B8E"/>
    <w:rsid w:val="00907EE4"/>
    <w:rsid w:val="009100D2"/>
    <w:rsid w:val="009115F9"/>
    <w:rsid w:val="0091456C"/>
    <w:rsid w:val="009147D9"/>
    <w:rsid w:val="00915FB1"/>
    <w:rsid w:val="0091622D"/>
    <w:rsid w:val="00916BAD"/>
    <w:rsid w:val="00920431"/>
    <w:rsid w:val="00920497"/>
    <w:rsid w:val="00920F7C"/>
    <w:rsid w:val="00921139"/>
    <w:rsid w:val="00921B24"/>
    <w:rsid w:val="00922B2D"/>
    <w:rsid w:val="00923865"/>
    <w:rsid w:val="00923A29"/>
    <w:rsid w:val="00924E92"/>
    <w:rsid w:val="0092607B"/>
    <w:rsid w:val="00926564"/>
    <w:rsid w:val="00926C53"/>
    <w:rsid w:val="00927CD9"/>
    <w:rsid w:val="00931A76"/>
    <w:rsid w:val="009333E0"/>
    <w:rsid w:val="00933F73"/>
    <w:rsid w:val="009344AB"/>
    <w:rsid w:val="00934705"/>
    <w:rsid w:val="00935EE5"/>
    <w:rsid w:val="00936CCD"/>
    <w:rsid w:val="0094039C"/>
    <w:rsid w:val="009439F5"/>
    <w:rsid w:val="00945FC3"/>
    <w:rsid w:val="009462DF"/>
    <w:rsid w:val="009469D6"/>
    <w:rsid w:val="0094759A"/>
    <w:rsid w:val="00950681"/>
    <w:rsid w:val="00950B50"/>
    <w:rsid w:val="00950CF3"/>
    <w:rsid w:val="0095415C"/>
    <w:rsid w:val="00954DF8"/>
    <w:rsid w:val="00955209"/>
    <w:rsid w:val="0095582A"/>
    <w:rsid w:val="00955B1B"/>
    <w:rsid w:val="00956326"/>
    <w:rsid w:val="009575A2"/>
    <w:rsid w:val="00960257"/>
    <w:rsid w:val="009640B3"/>
    <w:rsid w:val="00965531"/>
    <w:rsid w:val="00967B24"/>
    <w:rsid w:val="0097092A"/>
    <w:rsid w:val="00970BBA"/>
    <w:rsid w:val="00972FC8"/>
    <w:rsid w:val="00973A9D"/>
    <w:rsid w:val="00973D5F"/>
    <w:rsid w:val="00975A41"/>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C7C37"/>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4855"/>
    <w:rsid w:val="009E5744"/>
    <w:rsid w:val="009E5B02"/>
    <w:rsid w:val="009E5DA3"/>
    <w:rsid w:val="009E5E2C"/>
    <w:rsid w:val="009E631C"/>
    <w:rsid w:val="009E7595"/>
    <w:rsid w:val="009E7EF3"/>
    <w:rsid w:val="009F0232"/>
    <w:rsid w:val="009F11CD"/>
    <w:rsid w:val="009F2262"/>
    <w:rsid w:val="009F385A"/>
    <w:rsid w:val="009F42D0"/>
    <w:rsid w:val="009F4B8B"/>
    <w:rsid w:val="009F4EBD"/>
    <w:rsid w:val="009F6AEC"/>
    <w:rsid w:val="009F6E23"/>
    <w:rsid w:val="009F759E"/>
    <w:rsid w:val="009F7901"/>
    <w:rsid w:val="009F7ACA"/>
    <w:rsid w:val="00A0090C"/>
    <w:rsid w:val="00A0193A"/>
    <w:rsid w:val="00A01BA9"/>
    <w:rsid w:val="00A02EF7"/>
    <w:rsid w:val="00A0474B"/>
    <w:rsid w:val="00A051B8"/>
    <w:rsid w:val="00A05C88"/>
    <w:rsid w:val="00A06141"/>
    <w:rsid w:val="00A0651D"/>
    <w:rsid w:val="00A06566"/>
    <w:rsid w:val="00A065B0"/>
    <w:rsid w:val="00A0745E"/>
    <w:rsid w:val="00A100CA"/>
    <w:rsid w:val="00A10691"/>
    <w:rsid w:val="00A107FD"/>
    <w:rsid w:val="00A1087D"/>
    <w:rsid w:val="00A109E3"/>
    <w:rsid w:val="00A10A73"/>
    <w:rsid w:val="00A10A85"/>
    <w:rsid w:val="00A11EB0"/>
    <w:rsid w:val="00A1351F"/>
    <w:rsid w:val="00A13C3A"/>
    <w:rsid w:val="00A14847"/>
    <w:rsid w:val="00A15DA8"/>
    <w:rsid w:val="00A16542"/>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267"/>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58CF"/>
    <w:rsid w:val="00A66274"/>
    <w:rsid w:val="00A70118"/>
    <w:rsid w:val="00A717B9"/>
    <w:rsid w:val="00A72565"/>
    <w:rsid w:val="00A73F35"/>
    <w:rsid w:val="00A741AB"/>
    <w:rsid w:val="00A75E42"/>
    <w:rsid w:val="00A77EBC"/>
    <w:rsid w:val="00A81279"/>
    <w:rsid w:val="00A81C11"/>
    <w:rsid w:val="00A82CAD"/>
    <w:rsid w:val="00A845E8"/>
    <w:rsid w:val="00A846C1"/>
    <w:rsid w:val="00A847EA"/>
    <w:rsid w:val="00A8578A"/>
    <w:rsid w:val="00A8625A"/>
    <w:rsid w:val="00A876DB"/>
    <w:rsid w:val="00A90114"/>
    <w:rsid w:val="00A92374"/>
    <w:rsid w:val="00A9312A"/>
    <w:rsid w:val="00A93901"/>
    <w:rsid w:val="00A93C5F"/>
    <w:rsid w:val="00A949B0"/>
    <w:rsid w:val="00A9504B"/>
    <w:rsid w:val="00A961B4"/>
    <w:rsid w:val="00A96909"/>
    <w:rsid w:val="00A96D64"/>
    <w:rsid w:val="00A97337"/>
    <w:rsid w:val="00A97BFE"/>
    <w:rsid w:val="00AA17AD"/>
    <w:rsid w:val="00AA2558"/>
    <w:rsid w:val="00AA2E6A"/>
    <w:rsid w:val="00AA40D1"/>
    <w:rsid w:val="00AA579D"/>
    <w:rsid w:val="00AA611A"/>
    <w:rsid w:val="00AA6181"/>
    <w:rsid w:val="00AB0568"/>
    <w:rsid w:val="00AB084F"/>
    <w:rsid w:val="00AB0880"/>
    <w:rsid w:val="00AB0971"/>
    <w:rsid w:val="00AB0A87"/>
    <w:rsid w:val="00AB2604"/>
    <w:rsid w:val="00AB2713"/>
    <w:rsid w:val="00AB2B2D"/>
    <w:rsid w:val="00AB3727"/>
    <w:rsid w:val="00AB3DE7"/>
    <w:rsid w:val="00AB53A8"/>
    <w:rsid w:val="00AB70C1"/>
    <w:rsid w:val="00AB7128"/>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1C1E"/>
    <w:rsid w:val="00AD2338"/>
    <w:rsid w:val="00AD2373"/>
    <w:rsid w:val="00AD2A7B"/>
    <w:rsid w:val="00AD2F9F"/>
    <w:rsid w:val="00AD4901"/>
    <w:rsid w:val="00AD60EF"/>
    <w:rsid w:val="00AD6D3B"/>
    <w:rsid w:val="00AE1EA9"/>
    <w:rsid w:val="00AE2AE3"/>
    <w:rsid w:val="00AE2B6B"/>
    <w:rsid w:val="00AE3F56"/>
    <w:rsid w:val="00AE50A3"/>
    <w:rsid w:val="00AE64AA"/>
    <w:rsid w:val="00AE6D1B"/>
    <w:rsid w:val="00AE754D"/>
    <w:rsid w:val="00AE7958"/>
    <w:rsid w:val="00AF0FF7"/>
    <w:rsid w:val="00AF1274"/>
    <w:rsid w:val="00AF1333"/>
    <w:rsid w:val="00AF14DE"/>
    <w:rsid w:val="00AF2843"/>
    <w:rsid w:val="00AF53D8"/>
    <w:rsid w:val="00AF714C"/>
    <w:rsid w:val="00B00850"/>
    <w:rsid w:val="00B0266B"/>
    <w:rsid w:val="00B1110B"/>
    <w:rsid w:val="00B136A8"/>
    <w:rsid w:val="00B14F32"/>
    <w:rsid w:val="00B14F9E"/>
    <w:rsid w:val="00B169F7"/>
    <w:rsid w:val="00B16ACE"/>
    <w:rsid w:val="00B16D7A"/>
    <w:rsid w:val="00B17046"/>
    <w:rsid w:val="00B173D5"/>
    <w:rsid w:val="00B20537"/>
    <w:rsid w:val="00B2164F"/>
    <w:rsid w:val="00B235A1"/>
    <w:rsid w:val="00B251C9"/>
    <w:rsid w:val="00B25C38"/>
    <w:rsid w:val="00B26B43"/>
    <w:rsid w:val="00B31398"/>
    <w:rsid w:val="00B31B1C"/>
    <w:rsid w:val="00B31F84"/>
    <w:rsid w:val="00B32990"/>
    <w:rsid w:val="00B34EBF"/>
    <w:rsid w:val="00B3519C"/>
    <w:rsid w:val="00B354EA"/>
    <w:rsid w:val="00B35E4B"/>
    <w:rsid w:val="00B36198"/>
    <w:rsid w:val="00B37B2E"/>
    <w:rsid w:val="00B37E98"/>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08D"/>
    <w:rsid w:val="00B66746"/>
    <w:rsid w:val="00B66BF1"/>
    <w:rsid w:val="00B670B1"/>
    <w:rsid w:val="00B700CA"/>
    <w:rsid w:val="00B71B5B"/>
    <w:rsid w:val="00B71EF7"/>
    <w:rsid w:val="00B71F4F"/>
    <w:rsid w:val="00B72399"/>
    <w:rsid w:val="00B72653"/>
    <w:rsid w:val="00B72A50"/>
    <w:rsid w:val="00B73524"/>
    <w:rsid w:val="00B73E48"/>
    <w:rsid w:val="00B755F3"/>
    <w:rsid w:val="00B76730"/>
    <w:rsid w:val="00B81734"/>
    <w:rsid w:val="00B8176D"/>
    <w:rsid w:val="00B81D76"/>
    <w:rsid w:val="00B83525"/>
    <w:rsid w:val="00B8364E"/>
    <w:rsid w:val="00B855E7"/>
    <w:rsid w:val="00B9066D"/>
    <w:rsid w:val="00B90EF9"/>
    <w:rsid w:val="00B9134B"/>
    <w:rsid w:val="00B92F4C"/>
    <w:rsid w:val="00B97F84"/>
    <w:rsid w:val="00BA00F6"/>
    <w:rsid w:val="00BA0A99"/>
    <w:rsid w:val="00BA0DB6"/>
    <w:rsid w:val="00BA0F2A"/>
    <w:rsid w:val="00BA1BCB"/>
    <w:rsid w:val="00BA7D5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6F75"/>
    <w:rsid w:val="00BC7B42"/>
    <w:rsid w:val="00BD07AF"/>
    <w:rsid w:val="00BD2B3E"/>
    <w:rsid w:val="00BD353B"/>
    <w:rsid w:val="00BD3BBC"/>
    <w:rsid w:val="00BD4B6B"/>
    <w:rsid w:val="00BD4E75"/>
    <w:rsid w:val="00BD55A7"/>
    <w:rsid w:val="00BD7894"/>
    <w:rsid w:val="00BE5E8C"/>
    <w:rsid w:val="00BF0715"/>
    <w:rsid w:val="00BF10D4"/>
    <w:rsid w:val="00BF3763"/>
    <w:rsid w:val="00BF4A3A"/>
    <w:rsid w:val="00BF53AF"/>
    <w:rsid w:val="00BF5496"/>
    <w:rsid w:val="00BF5E39"/>
    <w:rsid w:val="00C01CFB"/>
    <w:rsid w:val="00C01E35"/>
    <w:rsid w:val="00C0201A"/>
    <w:rsid w:val="00C023E3"/>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47C97"/>
    <w:rsid w:val="00C5227A"/>
    <w:rsid w:val="00C53718"/>
    <w:rsid w:val="00C5377E"/>
    <w:rsid w:val="00C53A88"/>
    <w:rsid w:val="00C5443F"/>
    <w:rsid w:val="00C5449E"/>
    <w:rsid w:val="00C544AA"/>
    <w:rsid w:val="00C548DB"/>
    <w:rsid w:val="00C5509F"/>
    <w:rsid w:val="00C56436"/>
    <w:rsid w:val="00C604A1"/>
    <w:rsid w:val="00C60C2F"/>
    <w:rsid w:val="00C6351A"/>
    <w:rsid w:val="00C64450"/>
    <w:rsid w:val="00C6685A"/>
    <w:rsid w:val="00C669C1"/>
    <w:rsid w:val="00C66C97"/>
    <w:rsid w:val="00C70142"/>
    <w:rsid w:val="00C72048"/>
    <w:rsid w:val="00C7288C"/>
    <w:rsid w:val="00C734E5"/>
    <w:rsid w:val="00C740B8"/>
    <w:rsid w:val="00C75121"/>
    <w:rsid w:val="00C75595"/>
    <w:rsid w:val="00C75CFF"/>
    <w:rsid w:val="00C76D56"/>
    <w:rsid w:val="00C7790A"/>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2B1"/>
    <w:rsid w:val="00CC2E8F"/>
    <w:rsid w:val="00CC332D"/>
    <w:rsid w:val="00CC438E"/>
    <w:rsid w:val="00CD016A"/>
    <w:rsid w:val="00CD0BB4"/>
    <w:rsid w:val="00CD1283"/>
    <w:rsid w:val="00CD1426"/>
    <w:rsid w:val="00CD2012"/>
    <w:rsid w:val="00CD29CD"/>
    <w:rsid w:val="00CD33BA"/>
    <w:rsid w:val="00CD3E3B"/>
    <w:rsid w:val="00CD5023"/>
    <w:rsid w:val="00CD6293"/>
    <w:rsid w:val="00CD62F8"/>
    <w:rsid w:val="00CD6DDE"/>
    <w:rsid w:val="00CE1213"/>
    <w:rsid w:val="00CE1A6F"/>
    <w:rsid w:val="00CE1D2D"/>
    <w:rsid w:val="00CF313A"/>
    <w:rsid w:val="00CF3B89"/>
    <w:rsid w:val="00CF3DFA"/>
    <w:rsid w:val="00CF49F7"/>
    <w:rsid w:val="00CF4BDA"/>
    <w:rsid w:val="00CF4C73"/>
    <w:rsid w:val="00CF4EAE"/>
    <w:rsid w:val="00CF672E"/>
    <w:rsid w:val="00D013F7"/>
    <w:rsid w:val="00D0157A"/>
    <w:rsid w:val="00D017BD"/>
    <w:rsid w:val="00D01B7D"/>
    <w:rsid w:val="00D02ABF"/>
    <w:rsid w:val="00D037FA"/>
    <w:rsid w:val="00D04E0E"/>
    <w:rsid w:val="00D06A7F"/>
    <w:rsid w:val="00D132CA"/>
    <w:rsid w:val="00D1419E"/>
    <w:rsid w:val="00D14FE1"/>
    <w:rsid w:val="00D156CC"/>
    <w:rsid w:val="00D17ECC"/>
    <w:rsid w:val="00D203BF"/>
    <w:rsid w:val="00D20470"/>
    <w:rsid w:val="00D21075"/>
    <w:rsid w:val="00D2144D"/>
    <w:rsid w:val="00D21841"/>
    <w:rsid w:val="00D21992"/>
    <w:rsid w:val="00D21A19"/>
    <w:rsid w:val="00D22E95"/>
    <w:rsid w:val="00D265BA"/>
    <w:rsid w:val="00D32B47"/>
    <w:rsid w:val="00D34B47"/>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BA7"/>
    <w:rsid w:val="00D57F8D"/>
    <w:rsid w:val="00D602B2"/>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29B7"/>
    <w:rsid w:val="00D8484A"/>
    <w:rsid w:val="00D84925"/>
    <w:rsid w:val="00D849FE"/>
    <w:rsid w:val="00D84E37"/>
    <w:rsid w:val="00D85DAB"/>
    <w:rsid w:val="00D86503"/>
    <w:rsid w:val="00D8654A"/>
    <w:rsid w:val="00D876A8"/>
    <w:rsid w:val="00D87E2D"/>
    <w:rsid w:val="00D90876"/>
    <w:rsid w:val="00D918AA"/>
    <w:rsid w:val="00D9192A"/>
    <w:rsid w:val="00D92B19"/>
    <w:rsid w:val="00D931A2"/>
    <w:rsid w:val="00D93E98"/>
    <w:rsid w:val="00D9448F"/>
    <w:rsid w:val="00D952BF"/>
    <w:rsid w:val="00D95D83"/>
    <w:rsid w:val="00D97065"/>
    <w:rsid w:val="00D97ADB"/>
    <w:rsid w:val="00DA0993"/>
    <w:rsid w:val="00DA19C7"/>
    <w:rsid w:val="00DA2177"/>
    <w:rsid w:val="00DA3E9A"/>
    <w:rsid w:val="00DA47F4"/>
    <w:rsid w:val="00DA55FD"/>
    <w:rsid w:val="00DA71B7"/>
    <w:rsid w:val="00DA7A8A"/>
    <w:rsid w:val="00DA7B09"/>
    <w:rsid w:val="00DB030C"/>
    <w:rsid w:val="00DB0D9B"/>
    <w:rsid w:val="00DB1078"/>
    <w:rsid w:val="00DB2023"/>
    <w:rsid w:val="00DB3973"/>
    <w:rsid w:val="00DB5706"/>
    <w:rsid w:val="00DB5D8D"/>
    <w:rsid w:val="00DB6BD4"/>
    <w:rsid w:val="00DB7833"/>
    <w:rsid w:val="00DC0031"/>
    <w:rsid w:val="00DC0077"/>
    <w:rsid w:val="00DC0D57"/>
    <w:rsid w:val="00DC1961"/>
    <w:rsid w:val="00DC3FDB"/>
    <w:rsid w:val="00DC53AD"/>
    <w:rsid w:val="00DC65A4"/>
    <w:rsid w:val="00DC72E1"/>
    <w:rsid w:val="00DD33E9"/>
    <w:rsid w:val="00DD36BA"/>
    <w:rsid w:val="00DD58A6"/>
    <w:rsid w:val="00DD5C86"/>
    <w:rsid w:val="00DD61D2"/>
    <w:rsid w:val="00DE0831"/>
    <w:rsid w:val="00DE154F"/>
    <w:rsid w:val="00DE1EF0"/>
    <w:rsid w:val="00DE218C"/>
    <w:rsid w:val="00DE382A"/>
    <w:rsid w:val="00DE73CB"/>
    <w:rsid w:val="00DF0551"/>
    <w:rsid w:val="00DF11A3"/>
    <w:rsid w:val="00DF269B"/>
    <w:rsid w:val="00DF3C98"/>
    <w:rsid w:val="00DF4D6D"/>
    <w:rsid w:val="00DF52DF"/>
    <w:rsid w:val="00DF708F"/>
    <w:rsid w:val="00E02539"/>
    <w:rsid w:val="00E03833"/>
    <w:rsid w:val="00E05611"/>
    <w:rsid w:val="00E057AE"/>
    <w:rsid w:val="00E0795B"/>
    <w:rsid w:val="00E1010B"/>
    <w:rsid w:val="00E103FE"/>
    <w:rsid w:val="00E10D5F"/>
    <w:rsid w:val="00E10EAA"/>
    <w:rsid w:val="00E1214A"/>
    <w:rsid w:val="00E12BBA"/>
    <w:rsid w:val="00E14E0B"/>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1F74"/>
    <w:rsid w:val="00E662DA"/>
    <w:rsid w:val="00E67275"/>
    <w:rsid w:val="00E6745A"/>
    <w:rsid w:val="00E720EE"/>
    <w:rsid w:val="00E756F6"/>
    <w:rsid w:val="00E7627D"/>
    <w:rsid w:val="00E76928"/>
    <w:rsid w:val="00E77F0E"/>
    <w:rsid w:val="00E800EA"/>
    <w:rsid w:val="00E81D01"/>
    <w:rsid w:val="00E83687"/>
    <w:rsid w:val="00E837D7"/>
    <w:rsid w:val="00E83D1E"/>
    <w:rsid w:val="00E849D9"/>
    <w:rsid w:val="00E858DD"/>
    <w:rsid w:val="00E8593C"/>
    <w:rsid w:val="00E85FB2"/>
    <w:rsid w:val="00E902AF"/>
    <w:rsid w:val="00E91E5F"/>
    <w:rsid w:val="00E92D15"/>
    <w:rsid w:val="00E92D68"/>
    <w:rsid w:val="00E93A74"/>
    <w:rsid w:val="00E944B9"/>
    <w:rsid w:val="00E94BD9"/>
    <w:rsid w:val="00E957C1"/>
    <w:rsid w:val="00E96E67"/>
    <w:rsid w:val="00E9702A"/>
    <w:rsid w:val="00EA1649"/>
    <w:rsid w:val="00EA171B"/>
    <w:rsid w:val="00EA1E3D"/>
    <w:rsid w:val="00EA2AE6"/>
    <w:rsid w:val="00EA504E"/>
    <w:rsid w:val="00EA6DB1"/>
    <w:rsid w:val="00EA725D"/>
    <w:rsid w:val="00EB02AB"/>
    <w:rsid w:val="00EB0532"/>
    <w:rsid w:val="00EB1183"/>
    <w:rsid w:val="00EB120A"/>
    <w:rsid w:val="00EB1645"/>
    <w:rsid w:val="00EB1849"/>
    <w:rsid w:val="00EB3AF6"/>
    <w:rsid w:val="00EB58E6"/>
    <w:rsid w:val="00EB6401"/>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07782"/>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89A"/>
    <w:rsid w:val="00F338F6"/>
    <w:rsid w:val="00F34342"/>
    <w:rsid w:val="00F34A19"/>
    <w:rsid w:val="00F368C9"/>
    <w:rsid w:val="00F369F7"/>
    <w:rsid w:val="00F40BEC"/>
    <w:rsid w:val="00F42219"/>
    <w:rsid w:val="00F4245A"/>
    <w:rsid w:val="00F428CA"/>
    <w:rsid w:val="00F43993"/>
    <w:rsid w:val="00F44F72"/>
    <w:rsid w:val="00F46105"/>
    <w:rsid w:val="00F474D0"/>
    <w:rsid w:val="00F54EDD"/>
    <w:rsid w:val="00F55BF3"/>
    <w:rsid w:val="00F55E4D"/>
    <w:rsid w:val="00F55F27"/>
    <w:rsid w:val="00F5694E"/>
    <w:rsid w:val="00F57D21"/>
    <w:rsid w:val="00F656EB"/>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6EE6"/>
    <w:rsid w:val="00F87CF8"/>
    <w:rsid w:val="00F90987"/>
    <w:rsid w:val="00F91BBC"/>
    <w:rsid w:val="00F938EB"/>
    <w:rsid w:val="00F9491D"/>
    <w:rsid w:val="00F97175"/>
    <w:rsid w:val="00FA0522"/>
    <w:rsid w:val="00FA2094"/>
    <w:rsid w:val="00FA2A44"/>
    <w:rsid w:val="00FA2C9C"/>
    <w:rsid w:val="00FA3564"/>
    <w:rsid w:val="00FA59EA"/>
    <w:rsid w:val="00FA6C03"/>
    <w:rsid w:val="00FA7658"/>
    <w:rsid w:val="00FA7D02"/>
    <w:rsid w:val="00FB19AF"/>
    <w:rsid w:val="00FB453A"/>
    <w:rsid w:val="00FB5661"/>
    <w:rsid w:val="00FB5F9A"/>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1DF"/>
    <w:rsid w:val="00FD569E"/>
    <w:rsid w:val="00FD5D61"/>
    <w:rsid w:val="00FD6B1C"/>
    <w:rsid w:val="00FD72A1"/>
    <w:rsid w:val="00FE0BB9"/>
    <w:rsid w:val="00FE1484"/>
    <w:rsid w:val="00FE1AA2"/>
    <w:rsid w:val="00FE1AB0"/>
    <w:rsid w:val="00FE478F"/>
    <w:rsid w:val="00FE4F9B"/>
    <w:rsid w:val="00FF04D8"/>
    <w:rsid w:val="00FF1628"/>
    <w:rsid w:val="00FF17FD"/>
    <w:rsid w:val="00FF3C62"/>
    <w:rsid w:val="00FF4FE3"/>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84D6FE"/>
  <w15:docId w15:val="{191D45BA-BBCD-4A12-BD3C-30358279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4029DD"/>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locked/>
    <w:pPr>
      <w:tabs>
        <w:tab w:val="center" w:pos="4153"/>
        <w:tab w:val="right" w:pos="8306"/>
      </w:tabs>
    </w:pPr>
  </w:style>
  <w:style w:type="paragraph" w:styleId="TOC1">
    <w:name w:val="toc 1"/>
    <w:basedOn w:val="Normal"/>
    <w:next w:val="Normal"/>
    <w:autoRedefine/>
    <w:uiPriority w:val="39"/>
    <w:locked/>
    <w:pPr>
      <w:spacing w:before="120" w:after="120"/>
    </w:pPr>
    <w:rPr>
      <w:rFonts w:asciiTheme="minorHAnsi" w:hAnsiTheme="minorHAnsi"/>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4854D3"/>
    <w:pPr>
      <w:ind w:left="200"/>
    </w:pPr>
    <w:rPr>
      <w:rFonts w:asciiTheme="minorHAnsi" w:hAnsiTheme="minorHAnsi"/>
      <w:smallCaps/>
    </w:rPr>
  </w:style>
  <w:style w:type="paragraph" w:styleId="TOC3">
    <w:name w:val="toc 3"/>
    <w:basedOn w:val="Normal"/>
    <w:next w:val="Normal"/>
    <w:link w:val="TOC3Char"/>
    <w:autoRedefine/>
    <w:uiPriority w:val="39"/>
    <w:locked/>
    <w:rsid w:val="004854D3"/>
    <w:pPr>
      <w:ind w:left="400"/>
    </w:pPr>
    <w:rPr>
      <w:rFonts w:asciiTheme="minorHAnsi" w:hAnsiTheme="minorHAnsi"/>
      <w:i/>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D85DAB"/>
    <w:rPr>
      <w:rFonts w:asciiTheme="minorHAnsi" w:hAnsiTheme="minorHAnsi"/>
      <w:i/>
      <w:iCs/>
      <w:lang w:val="en-GB"/>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paragraph" w:customStyle="1" w:styleId="NumberBodyText">
    <w:name w:val="Number Body Text"/>
    <w:basedOn w:val="ListParagraph"/>
    <w:link w:val="NumberBodyTextChar"/>
    <w:qFormat/>
    <w:rsid w:val="009924D7"/>
    <w:pPr>
      <w:numPr>
        <w:numId w:val="5"/>
      </w:numPr>
    </w:pPr>
  </w:style>
  <w:style w:type="character" w:customStyle="1" w:styleId="ListParagraphChar">
    <w:name w:val="List Paragraph Char"/>
    <w:basedOn w:val="DefaultParagraphFont"/>
    <w:link w:val="ListParagraph"/>
    <w:uiPriority w:val="99"/>
    <w:rsid w:val="009924D7"/>
    <w:rPr>
      <w:rFonts w:ascii="Arial" w:hAnsi="Arial"/>
    </w:rPr>
  </w:style>
  <w:style w:type="character" w:customStyle="1" w:styleId="NumberBodyTextChar">
    <w:name w:val="Number Body Text Char"/>
    <w:basedOn w:val="ListParagraphChar"/>
    <w:link w:val="NumberBodyText"/>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NewHeading1">
    <w:name w:val="New Heading 1"/>
    <w:basedOn w:val="Heading1"/>
    <w:link w:val="NewHeading1Char"/>
    <w:qFormat/>
    <w:rsid w:val="00BD7894"/>
    <w:pPr>
      <w:ind w:left="1276"/>
    </w:pPr>
  </w:style>
  <w:style w:type="paragraph" w:customStyle="1" w:styleId="WPNormal">
    <w:name w:val="WP_Normal"/>
    <w:basedOn w:val="Normal"/>
    <w:rsid w:val="005E5D65"/>
    <w:pPr>
      <w:jc w:val="left"/>
    </w:pPr>
    <w:rPr>
      <w:rFonts w:ascii="Geneva" w:hAnsi="Geneva"/>
      <w:sz w:val="24"/>
      <w:lang w:val="en-GB"/>
    </w:rPr>
  </w:style>
  <w:style w:type="character" w:customStyle="1" w:styleId="NewHeading1Char">
    <w:name w:val="New Heading 1 Char"/>
    <w:basedOn w:val="Heading1Char"/>
    <w:link w:val="NewHeading1"/>
    <w:rsid w:val="00BD7894"/>
    <w:rPr>
      <w:rFonts w:ascii="Arial Bold" w:hAnsi="Arial Bold" w:cs="Arial"/>
      <w:b/>
      <w:caps/>
      <w:sz w:val="26"/>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character" w:customStyle="1" w:styleId="Mention1">
    <w:name w:val="Mention1"/>
    <w:basedOn w:val="DefaultParagraphFont"/>
    <w:uiPriority w:val="99"/>
    <w:semiHidden/>
    <w:unhideWhenUsed/>
    <w:rsid w:val="00B3519C"/>
    <w:rPr>
      <w:color w:val="2B579A"/>
      <w:shd w:val="clear" w:color="auto" w:fill="E6E6E6"/>
    </w:rPr>
  </w:style>
  <w:style w:type="paragraph" w:customStyle="1" w:styleId="HeadingCenter">
    <w:name w:val="Heading Center"/>
    <w:basedOn w:val="SectionHeading"/>
    <w:link w:val="HeadingCenterChar"/>
    <w:qFormat/>
    <w:rsid w:val="00745F41"/>
    <w:pPr>
      <w:jc w:val="center"/>
    </w:pPr>
    <w:rPr>
      <w:lang w:val="en-GB"/>
    </w:rPr>
  </w:style>
  <w:style w:type="character" w:customStyle="1" w:styleId="HeadingCenterChar">
    <w:name w:val="Heading Center Char"/>
    <w:basedOn w:val="SectionHeadingChar"/>
    <w:link w:val="HeadingCenter"/>
    <w:rsid w:val="00745F41"/>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D876A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D876A8"/>
    <w:rPr>
      <w:rFonts w:ascii="Arial" w:hAnsi="Arial" w:cs="Arial"/>
      <w:b/>
    </w:rPr>
  </w:style>
  <w:style w:type="paragraph" w:customStyle="1" w:styleId="BodyRED">
    <w:name w:val="Body RED"/>
    <w:basedOn w:val="BodyBold"/>
    <w:link w:val="BodyREDChar"/>
    <w:qFormat/>
    <w:rsid w:val="00D876A8"/>
    <w:rPr>
      <w:color w:val="FF0000"/>
    </w:rPr>
  </w:style>
  <w:style w:type="character" w:customStyle="1" w:styleId="BodyREDChar">
    <w:name w:val="Body RED Char"/>
    <w:basedOn w:val="BodyBoldChar"/>
    <w:link w:val="BodyRED"/>
    <w:rsid w:val="00D876A8"/>
    <w:rPr>
      <w:rFonts w:ascii="Arial" w:hAnsi="Arial"/>
      <w:b/>
      <w:color w:val="FF0000"/>
    </w:rPr>
  </w:style>
  <w:style w:type="paragraph" w:customStyle="1" w:styleId="RevisionTableText">
    <w:name w:val="Revision Table Text"/>
    <w:basedOn w:val="Normal"/>
    <w:link w:val="RevisionTableTextChar"/>
    <w:qFormat/>
    <w:rsid w:val="00D876A8"/>
    <w:pPr>
      <w:jc w:val="center"/>
    </w:pPr>
    <w:rPr>
      <w:rFonts w:cs="Arial"/>
      <w:sz w:val="16"/>
      <w:szCs w:val="16"/>
    </w:rPr>
  </w:style>
  <w:style w:type="character" w:customStyle="1" w:styleId="RevisionTableTextChar">
    <w:name w:val="Revision Table Text Char"/>
    <w:basedOn w:val="DefaultParagraphFont"/>
    <w:link w:val="RevisionTableText"/>
    <w:rsid w:val="00D876A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208032468">
          <w:marLeft w:val="547"/>
          <w:marRight w:val="0"/>
          <w:marTop w:val="0"/>
          <w:marBottom w:val="0"/>
          <w:divBdr>
            <w:top w:val="none" w:sz="0" w:space="0" w:color="auto"/>
            <w:left w:val="none" w:sz="0" w:space="0" w:color="auto"/>
            <w:bottom w:val="none" w:sz="0" w:space="0" w:color="auto"/>
            <w:right w:val="none" w:sz="0" w:space="0" w:color="auto"/>
          </w:divBdr>
        </w:div>
        <w:div w:id="451435494">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842550954">
          <w:marLeft w:val="547"/>
          <w:marRight w:val="0"/>
          <w:marTop w:val="0"/>
          <w:marBottom w:val="0"/>
          <w:divBdr>
            <w:top w:val="none" w:sz="0" w:space="0" w:color="auto"/>
            <w:left w:val="none" w:sz="0" w:space="0" w:color="auto"/>
            <w:bottom w:val="none" w:sz="0" w:space="0" w:color="auto"/>
            <w:right w:val="none" w:sz="0" w:space="0" w:color="auto"/>
          </w:divBdr>
        </w:div>
        <w:div w:id="1473447818">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gennin\Bechtel%20Corporation\NPMO%20-%20External\07_NPMO_Document_Management\Supporting%20Documentation\Template%20-%20NPMO%20Document%20-%20Code%201%20-%2000Bv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be05cb9e-65b1-4f79-8f71-baacca9cb4aa"/>
    <ds:schemaRef ds:uri="eb9daa93-b0af-4bcf-bea5-364aefc6ac9d"/>
    <ds:schemaRef ds:uri="http://purl.org/dc/dcmitype/"/>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64456-1AB9-436C-A407-0C13BD91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NPMO Document - Code 1 - 00Bv003</Template>
  <TotalTime>0</TotalTime>
  <Pages>1</Pages>
  <Words>579</Words>
  <Characters>3428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Estimate Classification Matrix Guideline</vt:lpstr>
    </vt:vector>
  </TitlesOfParts>
  <Company>Bechtel/EDS</Company>
  <LinksUpToDate>false</LinksUpToDate>
  <CharactersWithSpaces>4000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Classification Matrix Guideline</dc:title>
  <dc:subject>EPM-S00-GL-000005</dc:subject>
  <dc:creator>Iqbal, Hasan</dc:creator>
  <cp:keywords>ᅟ</cp:keywords>
  <dc:description/>
  <cp:lastModifiedBy>حامد الغامدي Hamed Alghamdi</cp:lastModifiedBy>
  <cp:revision>3</cp:revision>
  <cp:lastPrinted>2021-12-12T14:08:00Z</cp:lastPrinted>
  <dcterms:created xsi:type="dcterms:W3CDTF">2021-12-12T14:08:00Z</dcterms:created>
  <dcterms:modified xsi:type="dcterms:W3CDTF">2021-12-12T14:08:00Z</dcterms:modified>
  <cp:category>3 E - External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8067deaf-3b23-4808-a958-2dd99c171994</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